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5A27" w14:textId="5ED4663C" w:rsidR="00CD2A36" w:rsidRPr="00D8473C" w:rsidRDefault="00B56F74" w:rsidP="00B52CDD">
      <w:pPr>
        <w:pBdr>
          <w:bottom w:val="single" w:sz="12" w:space="1" w:color="auto"/>
        </w:pBdr>
        <w:rPr>
          <w:rFonts w:cstheme="minorHAnsi"/>
          <w:b/>
        </w:rPr>
      </w:pPr>
      <w:r w:rsidRPr="00D8473C">
        <w:rPr>
          <w:rFonts w:cstheme="minorHAnsi"/>
          <w:b/>
        </w:rPr>
        <w:t>Terms of Reference for the Professorial Appointment Support Oversight Group</w:t>
      </w:r>
    </w:p>
    <w:p w14:paraId="0435E8F0" w14:textId="1562FA65" w:rsidR="008653BE" w:rsidRPr="00D8473C" w:rsidRDefault="008653BE" w:rsidP="00B52CDD">
      <w:pPr>
        <w:rPr>
          <w:rFonts w:cstheme="minorHAnsi"/>
          <w:sz w:val="22"/>
          <w:szCs w:val="22"/>
        </w:rPr>
      </w:pPr>
    </w:p>
    <w:p w14:paraId="709C130F" w14:textId="2902CBEF" w:rsidR="00B56F74" w:rsidRPr="00D8473C" w:rsidRDefault="00B56F74" w:rsidP="00B52CDD">
      <w:pPr>
        <w:pStyle w:val="ListParagraph"/>
        <w:numPr>
          <w:ilvl w:val="0"/>
          <w:numId w:val="3"/>
        </w:numPr>
        <w:rPr>
          <w:rFonts w:cstheme="minorHAnsi"/>
          <w:b/>
          <w:sz w:val="22"/>
          <w:szCs w:val="22"/>
        </w:rPr>
      </w:pPr>
      <w:r w:rsidRPr="00D8473C">
        <w:rPr>
          <w:rFonts w:cstheme="minorHAnsi"/>
          <w:b/>
          <w:sz w:val="22"/>
          <w:szCs w:val="22"/>
        </w:rPr>
        <w:t>Purpose</w:t>
      </w:r>
    </w:p>
    <w:p w14:paraId="35F32692" w14:textId="77777777" w:rsidR="00ED2CE9" w:rsidRPr="00D8473C" w:rsidRDefault="00ED2CE9" w:rsidP="00B52CDD">
      <w:pPr>
        <w:rPr>
          <w:rFonts w:cstheme="minorHAnsi"/>
          <w:sz w:val="22"/>
          <w:szCs w:val="22"/>
        </w:rPr>
      </w:pPr>
    </w:p>
    <w:p w14:paraId="5EF63F68" w14:textId="0D7653B7" w:rsidR="00ED2CE9" w:rsidRPr="00D8473C" w:rsidRDefault="00ED2CE9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The University aims to attract, recruit and retain the strongest talent </w:t>
      </w:r>
      <w:r w:rsidR="005672D3">
        <w:rPr>
          <w:rFonts w:cstheme="minorHAnsi"/>
          <w:sz w:val="22"/>
          <w:szCs w:val="22"/>
        </w:rPr>
        <w:t xml:space="preserve">at all career stages </w:t>
      </w:r>
      <w:r w:rsidRPr="00D8473C">
        <w:rPr>
          <w:rFonts w:cstheme="minorHAnsi"/>
          <w:sz w:val="22"/>
          <w:szCs w:val="22"/>
        </w:rPr>
        <w:t xml:space="preserve">to maintain and enhance its world leading reputation. Increasing competition in a global market means we must strive to </w:t>
      </w:r>
      <w:r w:rsidR="00B205A0" w:rsidRPr="00D8473C">
        <w:rPr>
          <w:rFonts w:cstheme="minorHAnsi"/>
          <w:sz w:val="22"/>
          <w:szCs w:val="22"/>
        </w:rPr>
        <w:t xml:space="preserve">optimise </w:t>
      </w:r>
      <w:r w:rsidRPr="00D8473C">
        <w:rPr>
          <w:rFonts w:cstheme="minorHAnsi"/>
          <w:sz w:val="22"/>
          <w:szCs w:val="22"/>
        </w:rPr>
        <w:t xml:space="preserve">our approach to managing and supporting our very talented people. It is therefore essential that we </w:t>
      </w:r>
      <w:r w:rsidR="00B205A0" w:rsidRPr="00D8473C">
        <w:rPr>
          <w:rFonts w:cstheme="minorHAnsi"/>
          <w:sz w:val="22"/>
          <w:szCs w:val="22"/>
        </w:rPr>
        <w:t xml:space="preserve">develop </w:t>
      </w:r>
      <w:r w:rsidRPr="00D8473C">
        <w:rPr>
          <w:rFonts w:cstheme="minorHAnsi"/>
          <w:sz w:val="22"/>
          <w:szCs w:val="22"/>
        </w:rPr>
        <w:t>a competitive advantage in order to attract the best people</w:t>
      </w:r>
      <w:r w:rsidR="005672D3">
        <w:rPr>
          <w:rFonts w:cstheme="minorHAnsi"/>
          <w:sz w:val="22"/>
          <w:szCs w:val="22"/>
        </w:rPr>
        <w:t>, including</w:t>
      </w:r>
      <w:r w:rsidRPr="00D8473C">
        <w:rPr>
          <w:rFonts w:cstheme="minorHAnsi"/>
          <w:sz w:val="22"/>
          <w:szCs w:val="22"/>
        </w:rPr>
        <w:t xml:space="preserve"> in </w:t>
      </w:r>
      <w:r w:rsidR="005672D3">
        <w:rPr>
          <w:rFonts w:cstheme="minorHAnsi"/>
          <w:sz w:val="22"/>
          <w:szCs w:val="22"/>
        </w:rPr>
        <w:t xml:space="preserve">the </w:t>
      </w:r>
      <w:r w:rsidRPr="00D8473C">
        <w:rPr>
          <w:rFonts w:cstheme="minorHAnsi"/>
          <w:sz w:val="22"/>
          <w:szCs w:val="22"/>
        </w:rPr>
        <w:t xml:space="preserve">most senior </w:t>
      </w:r>
      <w:r w:rsidR="00A14BEF">
        <w:rPr>
          <w:rFonts w:cstheme="minorHAnsi"/>
          <w:sz w:val="22"/>
          <w:szCs w:val="22"/>
        </w:rPr>
        <w:t xml:space="preserve">academic </w:t>
      </w:r>
      <w:r w:rsidRPr="00D8473C">
        <w:rPr>
          <w:rFonts w:cstheme="minorHAnsi"/>
          <w:sz w:val="22"/>
          <w:szCs w:val="22"/>
        </w:rPr>
        <w:t>position</w:t>
      </w:r>
      <w:r w:rsidR="005672D3">
        <w:rPr>
          <w:rFonts w:cstheme="minorHAnsi"/>
          <w:sz w:val="22"/>
          <w:szCs w:val="22"/>
        </w:rPr>
        <w:t>s,</w:t>
      </w:r>
      <w:r w:rsidRPr="00D8473C">
        <w:rPr>
          <w:rFonts w:cstheme="minorHAnsi"/>
          <w:sz w:val="22"/>
          <w:szCs w:val="22"/>
        </w:rPr>
        <w:t xml:space="preserve"> to come to Cambridge and to remain here. Growth and innovation is vital not just for the sustainability of the University but for the city and the region. </w:t>
      </w:r>
    </w:p>
    <w:p w14:paraId="00BFBEEF" w14:textId="56DD973B" w:rsidR="00143F85" w:rsidRPr="00D8473C" w:rsidRDefault="00143F85" w:rsidP="00B52CDD">
      <w:pPr>
        <w:rPr>
          <w:rFonts w:cstheme="minorHAnsi"/>
          <w:sz w:val="22"/>
          <w:szCs w:val="22"/>
        </w:rPr>
      </w:pPr>
    </w:p>
    <w:p w14:paraId="15839769" w14:textId="210AA783" w:rsidR="007A4016" w:rsidRPr="00D8473C" w:rsidRDefault="00ED2CE9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An allocation of £15M over three years, i.e. £5M/year has been set aside from the Investment fund </w:t>
      </w:r>
      <w:r w:rsidR="00B9319A" w:rsidRPr="00D8473C">
        <w:rPr>
          <w:rFonts w:cstheme="minorHAnsi"/>
          <w:sz w:val="22"/>
          <w:szCs w:val="22"/>
        </w:rPr>
        <w:t xml:space="preserve">aimed at providing </w:t>
      </w:r>
      <w:r w:rsidRPr="00D8473C">
        <w:rPr>
          <w:rFonts w:cstheme="minorHAnsi"/>
          <w:sz w:val="22"/>
          <w:szCs w:val="22"/>
        </w:rPr>
        <w:t>support for</w:t>
      </w:r>
      <w:r w:rsidR="007A4016" w:rsidRPr="00D8473C">
        <w:rPr>
          <w:rFonts w:cstheme="minorHAnsi"/>
          <w:sz w:val="22"/>
          <w:szCs w:val="22"/>
        </w:rPr>
        <w:t xml:space="preserve"> professorial</w:t>
      </w:r>
      <w:r w:rsidRPr="00D8473C">
        <w:rPr>
          <w:rFonts w:cstheme="minorHAnsi"/>
          <w:sz w:val="22"/>
          <w:szCs w:val="22"/>
        </w:rPr>
        <w:t xml:space="preserve"> start-up packages</w:t>
      </w:r>
      <w:r w:rsidR="00B9319A" w:rsidRPr="00D8473C">
        <w:rPr>
          <w:rFonts w:cstheme="minorHAnsi"/>
          <w:sz w:val="22"/>
          <w:szCs w:val="22"/>
        </w:rPr>
        <w:t xml:space="preserve"> to secure </w:t>
      </w:r>
      <w:r w:rsidR="007A4016" w:rsidRPr="00D8473C">
        <w:rPr>
          <w:rFonts w:cstheme="minorHAnsi"/>
          <w:sz w:val="22"/>
          <w:szCs w:val="22"/>
        </w:rPr>
        <w:t xml:space="preserve">key </w:t>
      </w:r>
      <w:r w:rsidR="00B9319A" w:rsidRPr="00D8473C">
        <w:rPr>
          <w:rFonts w:cstheme="minorHAnsi"/>
          <w:sz w:val="22"/>
          <w:szCs w:val="22"/>
        </w:rPr>
        <w:t>senior</w:t>
      </w:r>
      <w:r w:rsidRPr="00D8473C">
        <w:rPr>
          <w:rFonts w:cstheme="minorHAnsi"/>
          <w:sz w:val="22"/>
          <w:szCs w:val="22"/>
        </w:rPr>
        <w:t xml:space="preserve"> appointments. </w:t>
      </w:r>
    </w:p>
    <w:p w14:paraId="434AB952" w14:textId="30C9120D" w:rsidR="00AF2745" w:rsidRPr="00D8473C" w:rsidRDefault="00AF2745" w:rsidP="00B52CDD">
      <w:pPr>
        <w:rPr>
          <w:rFonts w:cstheme="minorHAnsi"/>
          <w:sz w:val="22"/>
          <w:szCs w:val="22"/>
        </w:rPr>
      </w:pPr>
    </w:p>
    <w:p w14:paraId="0DFF8575" w14:textId="2FCDA308" w:rsidR="00ED2CE9" w:rsidRPr="00D8473C" w:rsidRDefault="00AF2745" w:rsidP="00B52CDD">
      <w:pPr>
        <w:rPr>
          <w:rFonts w:cstheme="minorHAnsi"/>
          <w:b/>
          <w:bCs/>
          <w:sz w:val="22"/>
          <w:szCs w:val="22"/>
          <w:lang w:val="en-US"/>
        </w:rPr>
      </w:pPr>
      <w:r w:rsidRPr="00D8473C">
        <w:rPr>
          <w:rFonts w:cstheme="minorHAnsi"/>
          <w:sz w:val="22"/>
          <w:szCs w:val="22"/>
        </w:rPr>
        <w:t>The Professorial Appointment Support Oversight Group (PASOG) is</w:t>
      </w:r>
      <w:r w:rsidR="00B9319A" w:rsidRPr="00D8473C">
        <w:rPr>
          <w:rFonts w:cstheme="minorHAnsi"/>
          <w:sz w:val="22"/>
          <w:szCs w:val="22"/>
        </w:rPr>
        <w:t xml:space="preserve"> responsible for </w:t>
      </w:r>
      <w:r w:rsidR="00533927" w:rsidRPr="00D8473C">
        <w:rPr>
          <w:rFonts w:cstheme="minorHAnsi"/>
          <w:sz w:val="22"/>
          <w:szCs w:val="22"/>
        </w:rPr>
        <w:t>t</w:t>
      </w:r>
      <w:r w:rsidR="00B9319A" w:rsidRPr="00D8473C">
        <w:rPr>
          <w:rFonts w:cstheme="minorHAnsi"/>
          <w:sz w:val="22"/>
          <w:szCs w:val="22"/>
        </w:rPr>
        <w:t>he management</w:t>
      </w:r>
      <w:r w:rsidR="001C570B" w:rsidRPr="00D8473C">
        <w:rPr>
          <w:rFonts w:cstheme="minorHAnsi"/>
          <w:sz w:val="22"/>
          <w:szCs w:val="22"/>
        </w:rPr>
        <w:t xml:space="preserve"> and allocation</w:t>
      </w:r>
      <w:r w:rsidR="00B9319A" w:rsidRPr="00D8473C">
        <w:rPr>
          <w:rFonts w:cstheme="minorHAnsi"/>
          <w:sz w:val="22"/>
          <w:szCs w:val="22"/>
        </w:rPr>
        <w:t xml:space="preserve"> of funding </w:t>
      </w:r>
      <w:r w:rsidR="001C570B" w:rsidRPr="00D8473C">
        <w:rPr>
          <w:rFonts w:cstheme="minorHAnsi"/>
          <w:sz w:val="22"/>
          <w:szCs w:val="22"/>
        </w:rPr>
        <w:t xml:space="preserve">under the </w:t>
      </w:r>
      <w:r w:rsidR="00B9319A" w:rsidRPr="00D8473C">
        <w:rPr>
          <w:rFonts w:cstheme="minorHAnsi"/>
          <w:sz w:val="22"/>
          <w:szCs w:val="22"/>
        </w:rPr>
        <w:t>scheme</w:t>
      </w:r>
      <w:r w:rsidRPr="00D8473C">
        <w:rPr>
          <w:rFonts w:cstheme="minorHAnsi"/>
          <w:sz w:val="22"/>
          <w:szCs w:val="22"/>
        </w:rPr>
        <w:t>. The scheme w</w:t>
      </w:r>
      <w:r w:rsidR="00ED2CE9" w:rsidRPr="00D8473C">
        <w:rPr>
          <w:rFonts w:cstheme="minorHAnsi"/>
          <w:sz w:val="22"/>
          <w:szCs w:val="22"/>
        </w:rPr>
        <w:t>ill</w:t>
      </w:r>
      <w:r w:rsidRPr="00D8473C">
        <w:rPr>
          <w:rFonts w:cstheme="minorHAnsi"/>
          <w:sz w:val="22"/>
          <w:szCs w:val="22"/>
        </w:rPr>
        <w:t xml:space="preserve"> be evaluated </w:t>
      </w:r>
      <w:r w:rsidR="00ED2CE9" w:rsidRPr="00D8473C">
        <w:rPr>
          <w:rFonts w:cstheme="minorHAnsi"/>
          <w:sz w:val="22"/>
          <w:szCs w:val="22"/>
        </w:rPr>
        <w:t xml:space="preserve">at the end of the </w:t>
      </w:r>
      <w:r w:rsidR="00B205A0" w:rsidRPr="00D8473C">
        <w:rPr>
          <w:rFonts w:cstheme="minorHAnsi"/>
          <w:sz w:val="22"/>
          <w:szCs w:val="22"/>
        </w:rPr>
        <w:t xml:space="preserve">first </w:t>
      </w:r>
      <w:r w:rsidR="00ED2CE9" w:rsidRPr="00D8473C">
        <w:rPr>
          <w:rFonts w:cstheme="minorHAnsi"/>
          <w:sz w:val="22"/>
          <w:szCs w:val="22"/>
        </w:rPr>
        <w:t xml:space="preserve">year to ensure </w:t>
      </w:r>
      <w:r w:rsidRPr="00D8473C">
        <w:rPr>
          <w:rFonts w:cstheme="minorHAnsi"/>
          <w:sz w:val="22"/>
          <w:szCs w:val="22"/>
        </w:rPr>
        <w:t xml:space="preserve">it </w:t>
      </w:r>
      <w:r w:rsidR="00ED2CE9" w:rsidRPr="00D8473C">
        <w:rPr>
          <w:rFonts w:cstheme="minorHAnsi"/>
          <w:sz w:val="22"/>
          <w:szCs w:val="22"/>
        </w:rPr>
        <w:t xml:space="preserve">is operating effectively and achieving </w:t>
      </w:r>
      <w:r w:rsidRPr="00D8473C">
        <w:rPr>
          <w:rFonts w:cstheme="minorHAnsi"/>
          <w:sz w:val="22"/>
          <w:szCs w:val="22"/>
        </w:rPr>
        <w:t>its aims</w:t>
      </w:r>
      <w:r w:rsidR="00ED2CE9" w:rsidRPr="00D8473C">
        <w:rPr>
          <w:rFonts w:cstheme="minorHAnsi"/>
          <w:sz w:val="22"/>
          <w:szCs w:val="22"/>
        </w:rPr>
        <w:t xml:space="preserve">. </w:t>
      </w:r>
      <w:r w:rsidRPr="00D8473C">
        <w:rPr>
          <w:rFonts w:cstheme="minorHAnsi"/>
          <w:sz w:val="22"/>
          <w:szCs w:val="22"/>
        </w:rPr>
        <w:t xml:space="preserve">A review will be undertaken by </w:t>
      </w:r>
      <w:r w:rsidR="00ED2CE9" w:rsidRPr="00D8473C">
        <w:rPr>
          <w:rFonts w:cstheme="minorHAnsi"/>
          <w:sz w:val="22"/>
          <w:szCs w:val="22"/>
        </w:rPr>
        <w:t xml:space="preserve">the Planning and Resources Committee </w:t>
      </w:r>
      <w:r w:rsidRPr="00D8473C">
        <w:rPr>
          <w:rFonts w:cstheme="minorHAnsi"/>
          <w:sz w:val="22"/>
          <w:szCs w:val="22"/>
        </w:rPr>
        <w:t xml:space="preserve">after three years to </w:t>
      </w:r>
      <w:r w:rsidR="00ED2CE9" w:rsidRPr="00D8473C">
        <w:rPr>
          <w:rFonts w:cstheme="minorHAnsi"/>
          <w:sz w:val="22"/>
          <w:szCs w:val="22"/>
        </w:rPr>
        <w:t>re-assess the level and source of ongoing funding.</w:t>
      </w:r>
    </w:p>
    <w:p w14:paraId="64B61CE0" w14:textId="77777777" w:rsidR="00B56F74" w:rsidRPr="00D8473C" w:rsidRDefault="00B56F74" w:rsidP="00B52CDD">
      <w:pPr>
        <w:ind w:left="720"/>
        <w:rPr>
          <w:rFonts w:cstheme="minorHAnsi"/>
          <w:sz w:val="22"/>
          <w:szCs w:val="22"/>
        </w:rPr>
      </w:pPr>
    </w:p>
    <w:p w14:paraId="10037C4D" w14:textId="24B7D993" w:rsidR="00B56F74" w:rsidRPr="00D8473C" w:rsidRDefault="00B56F74" w:rsidP="00B52CDD">
      <w:pPr>
        <w:pStyle w:val="ListParagraph"/>
        <w:numPr>
          <w:ilvl w:val="0"/>
          <w:numId w:val="3"/>
        </w:numPr>
        <w:rPr>
          <w:rFonts w:cstheme="minorHAnsi"/>
          <w:b/>
          <w:sz w:val="22"/>
          <w:szCs w:val="22"/>
        </w:rPr>
      </w:pPr>
      <w:r w:rsidRPr="00D8473C">
        <w:rPr>
          <w:rFonts w:cstheme="minorHAnsi"/>
          <w:b/>
          <w:sz w:val="22"/>
          <w:szCs w:val="22"/>
        </w:rPr>
        <w:t>Membership</w:t>
      </w:r>
    </w:p>
    <w:p w14:paraId="2294A3EE" w14:textId="77777777" w:rsidR="00143F85" w:rsidRPr="00D8473C" w:rsidRDefault="00143F85" w:rsidP="00B52CDD">
      <w:pPr>
        <w:rPr>
          <w:rFonts w:cstheme="minorHAnsi"/>
          <w:sz w:val="22"/>
          <w:szCs w:val="22"/>
        </w:rPr>
      </w:pPr>
    </w:p>
    <w:p w14:paraId="73EDF0F9" w14:textId="5FEA3E71" w:rsidR="00B56F74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The Group membership comprises:</w:t>
      </w:r>
    </w:p>
    <w:p w14:paraId="386A5735" w14:textId="77777777" w:rsidR="00143F85" w:rsidRPr="00D8473C" w:rsidRDefault="00143F85" w:rsidP="00B52CDD">
      <w:pPr>
        <w:rPr>
          <w:rFonts w:cstheme="minorHAnsi"/>
          <w:sz w:val="22"/>
          <w:szCs w:val="22"/>
        </w:rPr>
      </w:pPr>
    </w:p>
    <w:p w14:paraId="0A427952" w14:textId="64DE8131" w:rsidR="00B56F74" w:rsidRPr="00D8473C" w:rsidRDefault="00B56F74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Prof</w:t>
      </w:r>
      <w:r w:rsidR="00AF2745" w:rsidRPr="00D8473C">
        <w:rPr>
          <w:rFonts w:cstheme="minorHAnsi"/>
          <w:sz w:val="22"/>
          <w:szCs w:val="22"/>
        </w:rPr>
        <w:t>essor</w:t>
      </w:r>
      <w:r w:rsidRPr="00D8473C">
        <w:rPr>
          <w:rFonts w:cstheme="minorHAnsi"/>
          <w:sz w:val="22"/>
          <w:szCs w:val="22"/>
        </w:rPr>
        <w:t xml:space="preserve"> David Cardwell, PVC Strategy and Planning (Chair)</w:t>
      </w:r>
    </w:p>
    <w:p w14:paraId="3334F1D1" w14:textId="5C5B6C84" w:rsidR="00B56F74" w:rsidRPr="00D8473C" w:rsidRDefault="00B56F74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Prof</w:t>
      </w:r>
      <w:r w:rsidR="00AF2745" w:rsidRPr="00D8473C">
        <w:rPr>
          <w:rFonts w:cstheme="minorHAnsi"/>
          <w:sz w:val="22"/>
          <w:szCs w:val="22"/>
        </w:rPr>
        <w:t>essor</w:t>
      </w:r>
      <w:r w:rsidRPr="00D8473C">
        <w:rPr>
          <w:rFonts w:cstheme="minorHAnsi"/>
          <w:sz w:val="22"/>
          <w:szCs w:val="22"/>
        </w:rPr>
        <w:t xml:space="preserve"> Anne Ferguson Smith, PVC Research </w:t>
      </w:r>
    </w:p>
    <w:p w14:paraId="112DAD27" w14:textId="0BE4BDFC" w:rsidR="00B56F74" w:rsidRPr="00D8473C" w:rsidRDefault="00B56F74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Prof</w:t>
      </w:r>
      <w:r w:rsidR="00AF2745" w:rsidRPr="00D8473C">
        <w:rPr>
          <w:rFonts w:cstheme="minorHAnsi"/>
          <w:sz w:val="22"/>
          <w:szCs w:val="22"/>
        </w:rPr>
        <w:t>essor</w:t>
      </w:r>
      <w:r w:rsidRPr="00D8473C">
        <w:rPr>
          <w:rFonts w:cstheme="minorHAnsi"/>
          <w:sz w:val="22"/>
          <w:szCs w:val="22"/>
        </w:rPr>
        <w:t xml:space="preserve"> Patrick Maxwell, Head of the School of Clinical Medicine</w:t>
      </w:r>
    </w:p>
    <w:p w14:paraId="20587CEC" w14:textId="1E7DFA82" w:rsidR="00B56F74" w:rsidRPr="00D8473C" w:rsidRDefault="00B56F74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Prof</w:t>
      </w:r>
      <w:r w:rsidR="00AF2745" w:rsidRPr="00D8473C">
        <w:rPr>
          <w:rFonts w:cstheme="minorHAnsi"/>
          <w:sz w:val="22"/>
          <w:szCs w:val="22"/>
        </w:rPr>
        <w:t>essor</w:t>
      </w:r>
      <w:r w:rsidRPr="00D8473C">
        <w:rPr>
          <w:rFonts w:cstheme="minorHAnsi"/>
          <w:sz w:val="22"/>
          <w:szCs w:val="22"/>
        </w:rPr>
        <w:t xml:space="preserve"> Chris Young, Head of the School of Arts and Humanities</w:t>
      </w:r>
    </w:p>
    <w:p w14:paraId="7DBD35B5" w14:textId="0794942F" w:rsidR="00B56F74" w:rsidRPr="00D8473C" w:rsidRDefault="00B56F74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Prof</w:t>
      </w:r>
      <w:r w:rsidR="00AF2745" w:rsidRPr="00D8473C">
        <w:rPr>
          <w:rFonts w:cstheme="minorHAnsi"/>
          <w:sz w:val="22"/>
          <w:szCs w:val="22"/>
        </w:rPr>
        <w:t>essor</w:t>
      </w:r>
      <w:r w:rsidRPr="00D8473C">
        <w:rPr>
          <w:rFonts w:cstheme="minorHAnsi"/>
          <w:sz w:val="22"/>
          <w:szCs w:val="22"/>
        </w:rPr>
        <w:t xml:space="preserve"> John Dennis, Head, School of Technology</w:t>
      </w:r>
    </w:p>
    <w:p w14:paraId="5EC267FF" w14:textId="517B36F9" w:rsidR="00B56F74" w:rsidRPr="00D8473C" w:rsidRDefault="00AF2745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Mr </w:t>
      </w:r>
      <w:r w:rsidR="00B56F74" w:rsidRPr="00D8473C">
        <w:rPr>
          <w:rFonts w:cstheme="minorHAnsi"/>
          <w:sz w:val="22"/>
          <w:szCs w:val="22"/>
        </w:rPr>
        <w:t>David Long, Head of Investment Appraisal</w:t>
      </w:r>
    </w:p>
    <w:p w14:paraId="297445A6" w14:textId="199806CD" w:rsidR="00B56F74" w:rsidRPr="00D8473C" w:rsidRDefault="00AF2745" w:rsidP="00B52CDD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Mrs </w:t>
      </w:r>
      <w:r w:rsidR="00B56F74" w:rsidRPr="00D8473C">
        <w:rPr>
          <w:rFonts w:cstheme="minorHAnsi"/>
          <w:sz w:val="22"/>
          <w:szCs w:val="22"/>
        </w:rPr>
        <w:t>Sarah</w:t>
      </w:r>
      <w:r w:rsidR="00143F85" w:rsidRPr="00D8473C">
        <w:rPr>
          <w:rFonts w:cstheme="minorHAnsi"/>
          <w:sz w:val="22"/>
          <w:szCs w:val="22"/>
        </w:rPr>
        <w:t xml:space="preserve"> Botcherby, Resourcing Manager</w:t>
      </w:r>
    </w:p>
    <w:p w14:paraId="7849AC87" w14:textId="77777777" w:rsidR="003F7A78" w:rsidRPr="00D8473C" w:rsidRDefault="003F7A78" w:rsidP="00B52CDD">
      <w:pPr>
        <w:pStyle w:val="ListParagraph"/>
        <w:spacing w:line="259" w:lineRule="auto"/>
        <w:rPr>
          <w:rFonts w:cstheme="minorHAnsi"/>
          <w:sz w:val="22"/>
          <w:szCs w:val="22"/>
        </w:rPr>
      </w:pPr>
    </w:p>
    <w:p w14:paraId="69314911" w14:textId="182E0081" w:rsidR="00B56F74" w:rsidRPr="00D8473C" w:rsidRDefault="00B56F74" w:rsidP="00B52CDD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8473C">
        <w:rPr>
          <w:rFonts w:cstheme="minorHAnsi"/>
          <w:b/>
          <w:bCs/>
          <w:sz w:val="22"/>
          <w:szCs w:val="22"/>
        </w:rPr>
        <w:t>Remit</w:t>
      </w:r>
    </w:p>
    <w:p w14:paraId="49B13B3C" w14:textId="2BE9A7B5" w:rsidR="00961140" w:rsidRPr="00D8473C" w:rsidRDefault="00961140" w:rsidP="00B52CDD">
      <w:pPr>
        <w:rPr>
          <w:rFonts w:cstheme="minorHAnsi"/>
          <w:sz w:val="22"/>
          <w:szCs w:val="22"/>
        </w:rPr>
      </w:pPr>
    </w:p>
    <w:p w14:paraId="5F7B9C58" w14:textId="76848910" w:rsidR="00AF2745" w:rsidRPr="00D8473C" w:rsidRDefault="00961140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The remit of the </w:t>
      </w:r>
      <w:r w:rsidR="00AF2745" w:rsidRPr="00D8473C">
        <w:rPr>
          <w:rFonts w:cstheme="minorHAnsi"/>
          <w:sz w:val="22"/>
          <w:szCs w:val="22"/>
        </w:rPr>
        <w:t>PASOG i</w:t>
      </w:r>
      <w:r w:rsidRPr="00D8473C">
        <w:rPr>
          <w:rFonts w:cstheme="minorHAnsi"/>
          <w:sz w:val="22"/>
          <w:szCs w:val="22"/>
        </w:rPr>
        <w:t xml:space="preserve">s to consider and approve financial contributions to support senior professorial appointments across the University. The Group reports to the Human Resources Committee and the Planning and Resources Committee. </w:t>
      </w:r>
    </w:p>
    <w:p w14:paraId="725573A8" w14:textId="77777777" w:rsidR="00AF2745" w:rsidRPr="00D8473C" w:rsidRDefault="00AF2745" w:rsidP="00B52CDD">
      <w:pPr>
        <w:rPr>
          <w:rFonts w:cstheme="minorHAnsi"/>
          <w:sz w:val="22"/>
          <w:szCs w:val="22"/>
        </w:rPr>
      </w:pPr>
    </w:p>
    <w:p w14:paraId="10CD92E8" w14:textId="67DD7BEA" w:rsidR="00B52CDD" w:rsidRPr="00D8473C" w:rsidRDefault="00AF2745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The e</w:t>
      </w:r>
      <w:r w:rsidR="00C35683" w:rsidRPr="00D8473C">
        <w:rPr>
          <w:rFonts w:cstheme="minorHAnsi"/>
          <w:sz w:val="22"/>
          <w:szCs w:val="22"/>
        </w:rPr>
        <w:t>stablish</w:t>
      </w:r>
      <w:r w:rsidR="003B42A6" w:rsidRPr="00D8473C">
        <w:rPr>
          <w:rFonts w:cstheme="minorHAnsi"/>
          <w:sz w:val="22"/>
          <w:szCs w:val="22"/>
        </w:rPr>
        <w:t>ed</w:t>
      </w:r>
      <w:r w:rsidR="00C35683" w:rsidRPr="00D8473C">
        <w:rPr>
          <w:rFonts w:cstheme="minorHAnsi"/>
          <w:sz w:val="22"/>
          <w:szCs w:val="22"/>
        </w:rPr>
        <w:t xml:space="preserve"> fund </w:t>
      </w:r>
      <w:r w:rsidRPr="00D8473C">
        <w:rPr>
          <w:rFonts w:cstheme="minorHAnsi"/>
          <w:sz w:val="22"/>
          <w:szCs w:val="22"/>
        </w:rPr>
        <w:t xml:space="preserve">should </w:t>
      </w:r>
      <w:r w:rsidR="00C35683" w:rsidRPr="00D8473C">
        <w:rPr>
          <w:rFonts w:cstheme="minorHAnsi"/>
          <w:sz w:val="22"/>
          <w:szCs w:val="22"/>
        </w:rPr>
        <w:t xml:space="preserve">benefit all </w:t>
      </w:r>
      <w:r w:rsidR="002C7DE7" w:rsidRPr="00D8473C">
        <w:rPr>
          <w:rFonts w:cstheme="minorHAnsi"/>
          <w:sz w:val="22"/>
          <w:szCs w:val="22"/>
        </w:rPr>
        <w:t>School</w:t>
      </w:r>
      <w:r w:rsidRPr="00D8473C">
        <w:rPr>
          <w:rFonts w:cstheme="minorHAnsi"/>
          <w:sz w:val="22"/>
          <w:szCs w:val="22"/>
        </w:rPr>
        <w:t>s</w:t>
      </w:r>
      <w:r w:rsidR="00B9319A" w:rsidRPr="00D8473C">
        <w:rPr>
          <w:rFonts w:cstheme="minorHAnsi"/>
          <w:sz w:val="22"/>
          <w:szCs w:val="22"/>
        </w:rPr>
        <w:t xml:space="preserve">. </w:t>
      </w:r>
      <w:r w:rsidR="003B42A6" w:rsidRPr="00D8473C">
        <w:rPr>
          <w:rFonts w:cstheme="minorHAnsi"/>
          <w:sz w:val="22"/>
          <w:szCs w:val="22"/>
        </w:rPr>
        <w:t xml:space="preserve">It should be left to the integrity of the </w:t>
      </w:r>
      <w:r w:rsidR="002C7DE7" w:rsidRPr="00D8473C">
        <w:rPr>
          <w:rFonts w:cstheme="minorHAnsi"/>
          <w:sz w:val="22"/>
          <w:szCs w:val="22"/>
        </w:rPr>
        <w:t>School</w:t>
      </w:r>
      <w:r w:rsidR="003B42A6" w:rsidRPr="00D8473C">
        <w:rPr>
          <w:rFonts w:cstheme="minorHAnsi"/>
          <w:sz w:val="22"/>
          <w:szCs w:val="22"/>
        </w:rPr>
        <w:t xml:space="preserve"> to determine</w:t>
      </w:r>
      <w:r w:rsidR="00B52CDD" w:rsidRPr="00D8473C">
        <w:rPr>
          <w:rFonts w:cstheme="minorHAnsi"/>
          <w:sz w:val="22"/>
          <w:szCs w:val="22"/>
        </w:rPr>
        <w:t xml:space="preserve"> the suitability of </w:t>
      </w:r>
      <w:r w:rsidR="003B42A6" w:rsidRPr="00D8473C">
        <w:rPr>
          <w:rFonts w:cstheme="minorHAnsi"/>
          <w:sz w:val="22"/>
          <w:szCs w:val="22"/>
        </w:rPr>
        <w:t xml:space="preserve">the application </w:t>
      </w:r>
      <w:r w:rsidR="00B52CDD" w:rsidRPr="00D8473C">
        <w:rPr>
          <w:rFonts w:cstheme="minorHAnsi"/>
          <w:sz w:val="22"/>
          <w:szCs w:val="22"/>
        </w:rPr>
        <w:t xml:space="preserve">for support </w:t>
      </w:r>
      <w:r w:rsidR="003B42A6" w:rsidRPr="00D8473C">
        <w:rPr>
          <w:rFonts w:cstheme="minorHAnsi"/>
          <w:sz w:val="22"/>
          <w:szCs w:val="22"/>
        </w:rPr>
        <w:t>under the scheme</w:t>
      </w:r>
      <w:r w:rsidR="00873CDE" w:rsidRPr="00D8473C">
        <w:rPr>
          <w:rFonts w:cstheme="minorHAnsi"/>
          <w:sz w:val="22"/>
          <w:szCs w:val="22"/>
        </w:rPr>
        <w:t xml:space="preserve"> </w:t>
      </w:r>
      <w:r w:rsidR="00B52CDD" w:rsidRPr="00D8473C">
        <w:rPr>
          <w:rFonts w:cstheme="minorHAnsi"/>
          <w:sz w:val="22"/>
          <w:szCs w:val="22"/>
        </w:rPr>
        <w:t xml:space="preserve">and to decide </w:t>
      </w:r>
      <w:r w:rsidR="00873CDE" w:rsidRPr="00D8473C">
        <w:rPr>
          <w:rFonts w:cstheme="minorHAnsi"/>
          <w:sz w:val="22"/>
          <w:szCs w:val="22"/>
        </w:rPr>
        <w:t xml:space="preserve">what they need to secure the </w:t>
      </w:r>
      <w:r w:rsidR="001C570B" w:rsidRPr="00D8473C">
        <w:rPr>
          <w:rFonts w:cstheme="minorHAnsi"/>
          <w:sz w:val="22"/>
          <w:szCs w:val="22"/>
        </w:rPr>
        <w:t xml:space="preserve">key </w:t>
      </w:r>
      <w:r w:rsidR="00873CDE" w:rsidRPr="00D8473C">
        <w:rPr>
          <w:rFonts w:cstheme="minorHAnsi"/>
          <w:sz w:val="22"/>
          <w:szCs w:val="22"/>
        </w:rPr>
        <w:t>appointment</w:t>
      </w:r>
      <w:r w:rsidR="001C570B" w:rsidRPr="00D8473C">
        <w:rPr>
          <w:rFonts w:cstheme="minorHAnsi"/>
          <w:sz w:val="22"/>
          <w:szCs w:val="22"/>
        </w:rPr>
        <w:t>s</w:t>
      </w:r>
      <w:r w:rsidR="00873CDE" w:rsidRPr="00D8473C">
        <w:rPr>
          <w:rFonts w:cstheme="minorHAnsi"/>
          <w:sz w:val="22"/>
          <w:szCs w:val="22"/>
        </w:rPr>
        <w:t xml:space="preserve">. </w:t>
      </w:r>
      <w:r w:rsidR="00B9319A" w:rsidRPr="00D8473C">
        <w:rPr>
          <w:rFonts w:cstheme="minorHAnsi"/>
          <w:sz w:val="22"/>
          <w:szCs w:val="22"/>
        </w:rPr>
        <w:t xml:space="preserve">The </w:t>
      </w:r>
      <w:r w:rsidR="00B52CDD" w:rsidRPr="00D8473C">
        <w:rPr>
          <w:rFonts w:cstheme="minorHAnsi"/>
          <w:sz w:val="22"/>
          <w:szCs w:val="22"/>
        </w:rPr>
        <w:t>PASOG</w:t>
      </w:r>
      <w:r w:rsidR="00B9319A" w:rsidRPr="00D8473C">
        <w:rPr>
          <w:rFonts w:cstheme="minorHAnsi"/>
          <w:sz w:val="22"/>
          <w:szCs w:val="22"/>
        </w:rPr>
        <w:t xml:space="preserve"> </w:t>
      </w:r>
      <w:r w:rsidR="00873CDE" w:rsidRPr="00D8473C">
        <w:rPr>
          <w:rFonts w:cstheme="minorHAnsi"/>
          <w:sz w:val="22"/>
          <w:szCs w:val="22"/>
        </w:rPr>
        <w:t xml:space="preserve">should therefore </w:t>
      </w:r>
      <w:r w:rsidR="00B9319A" w:rsidRPr="00D8473C">
        <w:rPr>
          <w:rFonts w:cstheme="minorHAnsi"/>
          <w:sz w:val="22"/>
          <w:szCs w:val="22"/>
        </w:rPr>
        <w:t>aim to approve all applications</w:t>
      </w:r>
      <w:r w:rsidR="003B42A6" w:rsidRPr="00D8473C">
        <w:rPr>
          <w:rFonts w:cstheme="minorHAnsi"/>
          <w:sz w:val="22"/>
          <w:szCs w:val="22"/>
        </w:rPr>
        <w:t xml:space="preserve"> that meet the criteria </w:t>
      </w:r>
      <w:r w:rsidR="003F7A78" w:rsidRPr="00D8473C">
        <w:rPr>
          <w:rFonts w:cstheme="minorHAnsi"/>
          <w:sz w:val="22"/>
          <w:szCs w:val="22"/>
        </w:rPr>
        <w:t>unless there is good reason not to.</w:t>
      </w:r>
      <w:r w:rsidR="003B42A6" w:rsidRPr="00D8473C">
        <w:rPr>
          <w:rFonts w:cstheme="minorHAnsi"/>
          <w:sz w:val="22"/>
          <w:szCs w:val="22"/>
        </w:rPr>
        <w:t xml:space="preserve"> </w:t>
      </w:r>
    </w:p>
    <w:p w14:paraId="6EA7DA17" w14:textId="77777777" w:rsidR="00B52CDD" w:rsidRPr="00D8473C" w:rsidRDefault="00B52CDD" w:rsidP="00B52CDD">
      <w:pPr>
        <w:rPr>
          <w:rFonts w:cstheme="minorHAnsi"/>
          <w:sz w:val="22"/>
          <w:szCs w:val="22"/>
        </w:rPr>
      </w:pPr>
    </w:p>
    <w:p w14:paraId="571587C4" w14:textId="3F07562F" w:rsidR="00B56F74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The funding scheme will be advertised internally on the HR website.</w:t>
      </w:r>
    </w:p>
    <w:p w14:paraId="70064756" w14:textId="77777777" w:rsidR="00B56F74" w:rsidRPr="00D8473C" w:rsidRDefault="00B56F74" w:rsidP="00B52CDD">
      <w:pPr>
        <w:rPr>
          <w:rFonts w:cstheme="minorHAnsi"/>
          <w:sz w:val="22"/>
          <w:szCs w:val="22"/>
        </w:rPr>
      </w:pPr>
    </w:p>
    <w:p w14:paraId="3BEBA5FA" w14:textId="14E16BA0" w:rsidR="00B56F74" w:rsidRPr="00D8473C" w:rsidRDefault="00B56F74" w:rsidP="00B52CDD">
      <w:pPr>
        <w:pStyle w:val="ListParagraph"/>
        <w:numPr>
          <w:ilvl w:val="0"/>
          <w:numId w:val="3"/>
        </w:numPr>
        <w:rPr>
          <w:rFonts w:cstheme="minorHAnsi"/>
          <w:b/>
          <w:bCs/>
          <w:sz w:val="22"/>
          <w:szCs w:val="22"/>
        </w:rPr>
      </w:pPr>
      <w:r w:rsidRPr="00D8473C">
        <w:rPr>
          <w:rFonts w:cstheme="minorHAnsi"/>
          <w:b/>
          <w:bCs/>
          <w:sz w:val="22"/>
          <w:szCs w:val="22"/>
        </w:rPr>
        <w:t xml:space="preserve">Eligibility </w:t>
      </w:r>
    </w:p>
    <w:p w14:paraId="26EA9B97" w14:textId="2F63FFA5" w:rsidR="00E004B0" w:rsidRPr="00D8473C" w:rsidRDefault="00E004B0" w:rsidP="00B52CDD">
      <w:pPr>
        <w:rPr>
          <w:rFonts w:cstheme="minorHAnsi"/>
          <w:b/>
          <w:bCs/>
          <w:sz w:val="22"/>
          <w:szCs w:val="22"/>
        </w:rPr>
      </w:pPr>
    </w:p>
    <w:p w14:paraId="54C58FB3" w14:textId="6F3C5D89" w:rsidR="00207F12" w:rsidRPr="00D8473C" w:rsidRDefault="00207F12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All Schools will be eligible to apply</w:t>
      </w:r>
      <w:r w:rsidR="00B52CDD" w:rsidRPr="00D8473C">
        <w:rPr>
          <w:rFonts w:cstheme="minorHAnsi"/>
          <w:sz w:val="22"/>
          <w:szCs w:val="22"/>
        </w:rPr>
        <w:t xml:space="preserve">. The PASOG will expect to receive approximately 20 applications a year (3-4 applications /year / </w:t>
      </w:r>
      <w:r w:rsidR="002C7DE7" w:rsidRPr="00D8473C">
        <w:rPr>
          <w:rFonts w:cstheme="minorHAnsi"/>
          <w:sz w:val="22"/>
          <w:szCs w:val="22"/>
        </w:rPr>
        <w:t>School</w:t>
      </w:r>
      <w:r w:rsidR="00B52CDD" w:rsidRPr="00D8473C">
        <w:rPr>
          <w:rFonts w:cstheme="minorHAnsi"/>
          <w:sz w:val="22"/>
          <w:szCs w:val="22"/>
        </w:rPr>
        <w:t xml:space="preserve"> +/- 1).</w:t>
      </w:r>
    </w:p>
    <w:p w14:paraId="2A533283" w14:textId="77777777" w:rsidR="00207F12" w:rsidRPr="00D8473C" w:rsidRDefault="00207F12" w:rsidP="00B52CDD">
      <w:pPr>
        <w:rPr>
          <w:rFonts w:cstheme="minorHAnsi"/>
          <w:b/>
          <w:bCs/>
          <w:sz w:val="22"/>
          <w:szCs w:val="22"/>
        </w:rPr>
      </w:pPr>
    </w:p>
    <w:p w14:paraId="1EE71DD3" w14:textId="77777777" w:rsidR="00D8473C" w:rsidRDefault="00D8473C" w:rsidP="00B52CDD">
      <w:pPr>
        <w:spacing w:line="259" w:lineRule="auto"/>
        <w:rPr>
          <w:rFonts w:cstheme="minorHAnsi"/>
          <w:sz w:val="22"/>
          <w:szCs w:val="22"/>
        </w:rPr>
      </w:pPr>
    </w:p>
    <w:p w14:paraId="3AAAD525" w14:textId="2ABC8FD8" w:rsidR="00B52CDD" w:rsidRPr="00D8473C" w:rsidRDefault="003F7A78" w:rsidP="00B52CDD">
      <w:p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lastRenderedPageBreak/>
        <w:t>Although</w:t>
      </w:r>
      <w:r w:rsidR="00B52CDD" w:rsidRPr="00D8473C">
        <w:rPr>
          <w:rFonts w:cstheme="minorHAnsi"/>
          <w:sz w:val="22"/>
          <w:szCs w:val="22"/>
        </w:rPr>
        <w:t xml:space="preserve"> primarily</w:t>
      </w:r>
      <w:r w:rsidRPr="00D8473C">
        <w:rPr>
          <w:rFonts w:cstheme="minorHAnsi"/>
          <w:sz w:val="22"/>
          <w:szCs w:val="22"/>
        </w:rPr>
        <w:t xml:space="preserve"> aimed at senior professorial appointments, appointments to non-professorial posts will be considered in exceptional circumstances.</w:t>
      </w:r>
      <w:r w:rsidR="007A4016" w:rsidRPr="00D8473C">
        <w:rPr>
          <w:rFonts w:cstheme="minorHAnsi"/>
          <w:sz w:val="22"/>
          <w:szCs w:val="22"/>
        </w:rPr>
        <w:t xml:space="preserve"> </w:t>
      </w:r>
      <w:r w:rsidR="00B52CDD" w:rsidRPr="00D8473C">
        <w:rPr>
          <w:rFonts w:cstheme="minorHAnsi"/>
          <w:sz w:val="22"/>
          <w:szCs w:val="22"/>
        </w:rPr>
        <w:t xml:space="preserve">It is recognised that opportunities may arise to appoint </w:t>
      </w:r>
      <w:r w:rsidR="007A4016" w:rsidRPr="00D8473C">
        <w:rPr>
          <w:rFonts w:cstheme="minorHAnsi"/>
          <w:sz w:val="22"/>
          <w:szCs w:val="22"/>
        </w:rPr>
        <w:t xml:space="preserve">remarkable </w:t>
      </w:r>
      <w:r w:rsidR="00B52CDD" w:rsidRPr="00D8473C">
        <w:rPr>
          <w:rFonts w:cstheme="minorHAnsi"/>
          <w:sz w:val="22"/>
          <w:szCs w:val="22"/>
        </w:rPr>
        <w:t xml:space="preserve">and highly competitive candidates </w:t>
      </w:r>
      <w:r w:rsidR="007A4016" w:rsidRPr="00D8473C">
        <w:rPr>
          <w:rFonts w:cstheme="minorHAnsi"/>
          <w:sz w:val="22"/>
          <w:szCs w:val="22"/>
        </w:rPr>
        <w:t>not</w:t>
      </w:r>
      <w:r w:rsidR="00B52CDD" w:rsidRPr="00D8473C">
        <w:rPr>
          <w:rFonts w:cstheme="minorHAnsi"/>
          <w:sz w:val="22"/>
          <w:szCs w:val="22"/>
        </w:rPr>
        <w:t xml:space="preserve"> yet</w:t>
      </w:r>
      <w:r w:rsidR="007A4016" w:rsidRPr="00D8473C">
        <w:rPr>
          <w:rFonts w:cstheme="minorHAnsi"/>
          <w:sz w:val="22"/>
          <w:szCs w:val="22"/>
        </w:rPr>
        <w:t xml:space="preserve"> at prof</w:t>
      </w:r>
      <w:r w:rsidR="00B52CDD" w:rsidRPr="00D8473C">
        <w:rPr>
          <w:rFonts w:cstheme="minorHAnsi"/>
          <w:sz w:val="22"/>
          <w:szCs w:val="22"/>
        </w:rPr>
        <w:t>essorial</w:t>
      </w:r>
      <w:r w:rsidR="007A4016" w:rsidRPr="00D8473C">
        <w:rPr>
          <w:rFonts w:cstheme="minorHAnsi"/>
          <w:sz w:val="22"/>
          <w:szCs w:val="22"/>
        </w:rPr>
        <w:t xml:space="preserve"> level who</w:t>
      </w:r>
      <w:r w:rsidR="00533927" w:rsidRPr="00D8473C">
        <w:rPr>
          <w:rFonts w:cstheme="minorHAnsi"/>
          <w:sz w:val="22"/>
          <w:szCs w:val="22"/>
        </w:rPr>
        <w:t>se contribution</w:t>
      </w:r>
      <w:r w:rsidR="007A4016" w:rsidRPr="00D8473C">
        <w:rPr>
          <w:rFonts w:cstheme="minorHAnsi"/>
          <w:sz w:val="22"/>
          <w:szCs w:val="22"/>
        </w:rPr>
        <w:t xml:space="preserve"> </w:t>
      </w:r>
      <w:r w:rsidR="00B52CDD" w:rsidRPr="00D8473C">
        <w:rPr>
          <w:rFonts w:cstheme="minorHAnsi"/>
          <w:sz w:val="22"/>
          <w:szCs w:val="22"/>
        </w:rPr>
        <w:t xml:space="preserve">could </w:t>
      </w:r>
      <w:r w:rsidR="007A4016" w:rsidRPr="00D8473C">
        <w:rPr>
          <w:rFonts w:cstheme="minorHAnsi"/>
          <w:sz w:val="22"/>
          <w:szCs w:val="22"/>
        </w:rPr>
        <w:t xml:space="preserve">make a </w:t>
      </w:r>
      <w:r w:rsidR="00B52CDD" w:rsidRPr="00D8473C">
        <w:rPr>
          <w:rFonts w:cstheme="minorHAnsi"/>
          <w:sz w:val="22"/>
          <w:szCs w:val="22"/>
        </w:rPr>
        <w:t xml:space="preserve">significant </w:t>
      </w:r>
      <w:r w:rsidR="007A4016" w:rsidRPr="00D8473C">
        <w:rPr>
          <w:rFonts w:cstheme="minorHAnsi"/>
          <w:sz w:val="22"/>
          <w:szCs w:val="22"/>
        </w:rPr>
        <w:t>difference</w:t>
      </w:r>
      <w:r w:rsidR="00B52CDD" w:rsidRPr="00D8473C">
        <w:rPr>
          <w:rFonts w:cstheme="minorHAnsi"/>
          <w:sz w:val="22"/>
          <w:szCs w:val="22"/>
        </w:rPr>
        <w:t xml:space="preserve"> to the </w:t>
      </w:r>
      <w:r w:rsidR="002C7DE7" w:rsidRPr="00D8473C">
        <w:rPr>
          <w:rFonts w:cstheme="minorHAnsi"/>
          <w:sz w:val="22"/>
          <w:szCs w:val="22"/>
        </w:rPr>
        <w:t>School</w:t>
      </w:r>
      <w:r w:rsidR="00B52CDD" w:rsidRPr="00D8473C">
        <w:rPr>
          <w:rFonts w:cstheme="minorHAnsi"/>
          <w:sz w:val="22"/>
          <w:szCs w:val="22"/>
        </w:rPr>
        <w:t xml:space="preserve"> / institution</w:t>
      </w:r>
      <w:r w:rsidR="007A4016" w:rsidRPr="00D8473C">
        <w:rPr>
          <w:rFonts w:cstheme="minorHAnsi"/>
          <w:sz w:val="22"/>
          <w:szCs w:val="22"/>
        </w:rPr>
        <w:t xml:space="preserve">. </w:t>
      </w:r>
    </w:p>
    <w:p w14:paraId="46A22444" w14:textId="77777777" w:rsidR="00B52CDD" w:rsidRPr="00D8473C" w:rsidRDefault="00B52CDD" w:rsidP="00B52CDD">
      <w:pPr>
        <w:spacing w:line="259" w:lineRule="auto"/>
        <w:rPr>
          <w:rFonts w:cstheme="minorHAnsi"/>
          <w:sz w:val="22"/>
          <w:szCs w:val="22"/>
        </w:rPr>
      </w:pPr>
    </w:p>
    <w:p w14:paraId="41486A81" w14:textId="0144E104" w:rsidR="002E1978" w:rsidRPr="003E1244" w:rsidRDefault="00F44105" w:rsidP="00B52CDD">
      <w:pPr>
        <w:spacing w:line="259" w:lineRule="auto"/>
        <w:rPr>
          <w:rFonts w:cstheme="minorHAnsi"/>
          <w:sz w:val="22"/>
          <w:szCs w:val="22"/>
        </w:rPr>
      </w:pPr>
      <w:r w:rsidRPr="002E1978">
        <w:rPr>
          <w:rFonts w:cstheme="minorHAnsi"/>
          <w:sz w:val="22"/>
          <w:szCs w:val="22"/>
        </w:rPr>
        <w:t>Schools are expected to receive a</w:t>
      </w:r>
      <w:r w:rsidR="00D8473C" w:rsidRPr="002E1978">
        <w:rPr>
          <w:rFonts w:cstheme="minorHAnsi"/>
          <w:sz w:val="22"/>
          <w:szCs w:val="22"/>
        </w:rPr>
        <w:t xml:space="preserve"> share proportionate to their needs</w:t>
      </w:r>
      <w:r w:rsidR="00AC5659" w:rsidRPr="002E1978">
        <w:rPr>
          <w:rFonts w:cstheme="minorHAnsi"/>
          <w:sz w:val="22"/>
          <w:szCs w:val="22"/>
        </w:rPr>
        <w:t>;</w:t>
      </w:r>
      <w:r w:rsidRPr="002E1978">
        <w:rPr>
          <w:rFonts w:cstheme="minorHAnsi"/>
          <w:sz w:val="22"/>
          <w:szCs w:val="22"/>
        </w:rPr>
        <w:t xml:space="preserve"> however</w:t>
      </w:r>
      <w:r w:rsidR="00AC5659" w:rsidRPr="002E1978">
        <w:rPr>
          <w:rFonts w:cstheme="minorHAnsi"/>
          <w:sz w:val="22"/>
          <w:szCs w:val="22"/>
        </w:rPr>
        <w:t>,</w:t>
      </w:r>
      <w:r w:rsidRPr="002E1978">
        <w:rPr>
          <w:rFonts w:cstheme="minorHAnsi"/>
          <w:sz w:val="22"/>
          <w:szCs w:val="22"/>
        </w:rPr>
        <w:t xml:space="preserve"> i</w:t>
      </w:r>
      <w:r w:rsidR="00B56F74" w:rsidRPr="002E1978">
        <w:rPr>
          <w:rFonts w:cstheme="minorHAnsi"/>
          <w:sz w:val="22"/>
          <w:szCs w:val="22"/>
        </w:rPr>
        <w:t>t is anticipated that support for start-up packages for professorial appointments in the sciences will be higher, on average, than that for the arts</w:t>
      </w:r>
      <w:r w:rsidR="00B205A0" w:rsidRPr="002E1978">
        <w:rPr>
          <w:rFonts w:cstheme="minorHAnsi"/>
          <w:sz w:val="22"/>
          <w:szCs w:val="22"/>
        </w:rPr>
        <w:t xml:space="preserve">, </w:t>
      </w:r>
      <w:r w:rsidR="00B56F74" w:rsidRPr="002E1978">
        <w:rPr>
          <w:rFonts w:cstheme="minorHAnsi"/>
          <w:sz w:val="22"/>
          <w:szCs w:val="22"/>
        </w:rPr>
        <w:t>hu</w:t>
      </w:r>
      <w:r w:rsidR="002E057A" w:rsidRPr="002E1978">
        <w:rPr>
          <w:rFonts w:cstheme="minorHAnsi"/>
          <w:sz w:val="22"/>
          <w:szCs w:val="22"/>
        </w:rPr>
        <w:t>manities</w:t>
      </w:r>
      <w:r w:rsidR="00B205A0" w:rsidRPr="002E1978">
        <w:rPr>
          <w:rFonts w:cstheme="minorHAnsi"/>
          <w:sz w:val="22"/>
          <w:szCs w:val="22"/>
        </w:rPr>
        <w:t xml:space="preserve"> and social sciences</w:t>
      </w:r>
      <w:r w:rsidR="002E057A" w:rsidRPr="002E1978">
        <w:rPr>
          <w:rFonts w:cstheme="minorHAnsi"/>
          <w:sz w:val="22"/>
          <w:szCs w:val="22"/>
        </w:rPr>
        <w:t xml:space="preserve"> due to the general </w:t>
      </w:r>
      <w:r w:rsidR="00B56F74" w:rsidRPr="002E1978">
        <w:rPr>
          <w:rFonts w:cstheme="minorHAnsi"/>
          <w:sz w:val="22"/>
          <w:szCs w:val="22"/>
        </w:rPr>
        <w:t>requirement for equipment and modifications to space</w:t>
      </w:r>
      <w:r w:rsidRPr="003E1244">
        <w:rPr>
          <w:rFonts w:cstheme="minorHAnsi"/>
          <w:sz w:val="22"/>
          <w:szCs w:val="22"/>
        </w:rPr>
        <w:t xml:space="preserve">. </w:t>
      </w:r>
      <w:r w:rsidR="002E1978" w:rsidRPr="003E1244">
        <w:rPr>
          <w:rFonts w:cstheme="minorHAnsi"/>
          <w:sz w:val="22"/>
          <w:szCs w:val="22"/>
        </w:rPr>
        <w:t xml:space="preserve">  </w:t>
      </w:r>
      <w:r w:rsidR="002E1978" w:rsidRPr="003B62A8">
        <w:rPr>
          <w:rFonts w:cstheme="minorHAnsi"/>
          <w:sz w:val="22"/>
          <w:szCs w:val="22"/>
        </w:rPr>
        <w:t>It is envisaged that over a three-year period, the following resources will be allocated:</w:t>
      </w:r>
    </w:p>
    <w:p w14:paraId="193FDB60" w14:textId="4321C851" w:rsidR="002E1978" w:rsidRPr="003B62A8" w:rsidRDefault="002E1978" w:rsidP="002E1978">
      <w:pPr>
        <w:pStyle w:val="ListParagraph"/>
        <w:numPr>
          <w:ilvl w:val="0"/>
          <w:numId w:val="10"/>
        </w:numPr>
        <w:spacing w:line="259" w:lineRule="auto"/>
        <w:rPr>
          <w:rFonts w:cstheme="minorHAnsi"/>
          <w:sz w:val="22"/>
          <w:szCs w:val="22"/>
        </w:rPr>
      </w:pPr>
      <w:r w:rsidRPr="003B62A8">
        <w:rPr>
          <w:rFonts w:cstheme="minorHAnsi"/>
          <w:sz w:val="22"/>
          <w:szCs w:val="22"/>
        </w:rPr>
        <w:t xml:space="preserve">Up to £1m pa for </w:t>
      </w:r>
      <w:r w:rsidR="00E9554A" w:rsidRPr="003B62A8">
        <w:rPr>
          <w:rFonts w:cstheme="minorHAnsi"/>
          <w:sz w:val="22"/>
          <w:szCs w:val="22"/>
        </w:rPr>
        <w:t xml:space="preserve">each of the four </w:t>
      </w:r>
      <w:r w:rsidRPr="003B62A8">
        <w:rPr>
          <w:rFonts w:cstheme="minorHAnsi"/>
          <w:sz w:val="22"/>
          <w:szCs w:val="22"/>
        </w:rPr>
        <w:t>science schools</w:t>
      </w:r>
    </w:p>
    <w:p w14:paraId="1E5B172E" w14:textId="20136CD6" w:rsidR="002E1978" w:rsidRPr="003B62A8" w:rsidRDefault="002E1978" w:rsidP="002E1978">
      <w:pPr>
        <w:pStyle w:val="ListParagraph"/>
        <w:numPr>
          <w:ilvl w:val="0"/>
          <w:numId w:val="10"/>
        </w:numPr>
        <w:spacing w:line="259" w:lineRule="auto"/>
        <w:rPr>
          <w:rFonts w:cstheme="minorHAnsi"/>
          <w:sz w:val="22"/>
          <w:szCs w:val="22"/>
        </w:rPr>
      </w:pPr>
      <w:r w:rsidRPr="003B62A8">
        <w:rPr>
          <w:rFonts w:cstheme="minorHAnsi"/>
          <w:sz w:val="22"/>
          <w:szCs w:val="22"/>
        </w:rPr>
        <w:t xml:space="preserve">Up to £500k pa for </w:t>
      </w:r>
      <w:r w:rsidR="00E9554A" w:rsidRPr="003B62A8">
        <w:rPr>
          <w:rFonts w:cstheme="minorHAnsi"/>
          <w:sz w:val="22"/>
          <w:szCs w:val="22"/>
        </w:rPr>
        <w:t xml:space="preserve">each of the two </w:t>
      </w:r>
      <w:r w:rsidRPr="003B62A8">
        <w:rPr>
          <w:rFonts w:cstheme="minorHAnsi"/>
          <w:sz w:val="22"/>
          <w:szCs w:val="22"/>
        </w:rPr>
        <w:t>arts</w:t>
      </w:r>
      <w:r w:rsidR="00E9554A" w:rsidRPr="003B62A8">
        <w:rPr>
          <w:rFonts w:cstheme="minorHAnsi"/>
          <w:sz w:val="22"/>
          <w:szCs w:val="22"/>
        </w:rPr>
        <w:t xml:space="preserve"> and humanities</w:t>
      </w:r>
      <w:r w:rsidRPr="003B62A8">
        <w:rPr>
          <w:rFonts w:cstheme="minorHAnsi"/>
          <w:sz w:val="22"/>
          <w:szCs w:val="22"/>
        </w:rPr>
        <w:t xml:space="preserve"> schools.</w:t>
      </w:r>
    </w:p>
    <w:p w14:paraId="0848B7E8" w14:textId="77777777" w:rsidR="002E1978" w:rsidRPr="003B62A8" w:rsidRDefault="002E1978" w:rsidP="00B52CDD">
      <w:pPr>
        <w:spacing w:line="259" w:lineRule="auto"/>
        <w:rPr>
          <w:rFonts w:cstheme="minorHAnsi"/>
          <w:sz w:val="22"/>
          <w:szCs w:val="22"/>
        </w:rPr>
      </w:pPr>
    </w:p>
    <w:p w14:paraId="377EC131" w14:textId="3D7F8267" w:rsidR="00446A01" w:rsidRPr="003E1244" w:rsidRDefault="00446A01" w:rsidP="00B52CDD">
      <w:pPr>
        <w:spacing w:line="259" w:lineRule="auto"/>
        <w:rPr>
          <w:rFonts w:cstheme="minorHAnsi"/>
          <w:sz w:val="22"/>
          <w:szCs w:val="22"/>
        </w:rPr>
      </w:pPr>
      <w:r w:rsidRPr="003B62A8">
        <w:rPr>
          <w:rFonts w:cstheme="minorHAnsi"/>
          <w:sz w:val="22"/>
          <w:szCs w:val="22"/>
        </w:rPr>
        <w:t>The Head of School is the first point of contact for further advice on specific cases.</w:t>
      </w:r>
    </w:p>
    <w:p w14:paraId="16E639B3" w14:textId="77777777" w:rsidR="00446A01" w:rsidRDefault="00446A01" w:rsidP="00B52CDD">
      <w:pPr>
        <w:spacing w:line="259" w:lineRule="auto"/>
        <w:rPr>
          <w:rFonts w:cstheme="minorHAnsi"/>
          <w:sz w:val="22"/>
          <w:szCs w:val="22"/>
        </w:rPr>
      </w:pPr>
    </w:p>
    <w:p w14:paraId="5A4B4BD9" w14:textId="14C64F8B" w:rsidR="00B56F74" w:rsidRPr="00D8473C" w:rsidRDefault="00F44105" w:rsidP="00B52CDD">
      <w:pPr>
        <w:spacing w:line="259" w:lineRule="auto"/>
        <w:rPr>
          <w:rFonts w:cstheme="minorHAnsi"/>
          <w:sz w:val="22"/>
          <w:szCs w:val="22"/>
        </w:rPr>
      </w:pPr>
      <w:r w:rsidRPr="002E1978">
        <w:rPr>
          <w:rFonts w:cstheme="minorHAnsi"/>
          <w:sz w:val="22"/>
          <w:szCs w:val="22"/>
        </w:rPr>
        <w:t xml:space="preserve">The PASOG will have discretion to determine the amounts allocated based on the application including any co-funding </w:t>
      </w:r>
      <w:r w:rsidR="009502B8" w:rsidRPr="002E1978">
        <w:rPr>
          <w:rFonts w:cstheme="minorHAnsi"/>
          <w:sz w:val="22"/>
          <w:szCs w:val="22"/>
        </w:rPr>
        <w:t xml:space="preserve">contributions available from </w:t>
      </w:r>
      <w:r w:rsidRPr="002E1978">
        <w:rPr>
          <w:rFonts w:cstheme="minorHAnsi"/>
          <w:sz w:val="22"/>
          <w:szCs w:val="22"/>
        </w:rPr>
        <w:t>institution</w:t>
      </w:r>
      <w:r w:rsidR="009502B8" w:rsidRPr="002E1978">
        <w:rPr>
          <w:rFonts w:cstheme="minorHAnsi"/>
          <w:sz w:val="22"/>
          <w:szCs w:val="22"/>
        </w:rPr>
        <w:t>s</w:t>
      </w:r>
      <w:r w:rsidR="00B56F74" w:rsidRPr="002E1978">
        <w:rPr>
          <w:rFonts w:cstheme="minorHAnsi"/>
          <w:sz w:val="22"/>
          <w:szCs w:val="22"/>
        </w:rPr>
        <w:t>.</w:t>
      </w:r>
    </w:p>
    <w:p w14:paraId="37EB9B9C" w14:textId="3A26A423" w:rsidR="00B56F74" w:rsidRPr="00D8473C" w:rsidRDefault="00B56F74" w:rsidP="00B52CDD">
      <w:pPr>
        <w:rPr>
          <w:rFonts w:cstheme="minorHAnsi"/>
          <w:sz w:val="22"/>
          <w:szCs w:val="22"/>
        </w:rPr>
      </w:pPr>
    </w:p>
    <w:p w14:paraId="29E420B2" w14:textId="6AAC428E" w:rsidR="00B56F74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This fund will not substitute existing funds that are available within </w:t>
      </w:r>
      <w:r w:rsidR="002C7DE7" w:rsidRPr="00D8473C">
        <w:rPr>
          <w:rFonts w:cstheme="minorHAnsi"/>
          <w:sz w:val="22"/>
          <w:szCs w:val="22"/>
        </w:rPr>
        <w:t>School</w:t>
      </w:r>
      <w:r w:rsidRPr="00D8473C">
        <w:rPr>
          <w:rFonts w:cstheme="minorHAnsi"/>
          <w:sz w:val="22"/>
          <w:szCs w:val="22"/>
        </w:rPr>
        <w:t>s for start-up packages, and particularly those to support named chairs, where earmarked funds are often provided. Partial funding for start</w:t>
      </w:r>
      <w:r w:rsidR="003F7A78" w:rsidRPr="00D8473C">
        <w:rPr>
          <w:rFonts w:cstheme="minorHAnsi"/>
          <w:sz w:val="22"/>
          <w:szCs w:val="22"/>
        </w:rPr>
        <w:t>-up</w:t>
      </w:r>
      <w:r w:rsidRPr="00D8473C">
        <w:rPr>
          <w:rFonts w:cstheme="minorHAnsi"/>
          <w:sz w:val="22"/>
          <w:szCs w:val="22"/>
        </w:rPr>
        <w:t xml:space="preserve"> packages will be encouraged.</w:t>
      </w:r>
    </w:p>
    <w:p w14:paraId="2FC7277A" w14:textId="71E3DBC6" w:rsidR="00B56F74" w:rsidRPr="00D8473C" w:rsidRDefault="00B56F74" w:rsidP="00B52CDD">
      <w:pPr>
        <w:rPr>
          <w:rFonts w:cstheme="minorHAnsi"/>
          <w:sz w:val="22"/>
          <w:szCs w:val="22"/>
        </w:rPr>
      </w:pPr>
    </w:p>
    <w:p w14:paraId="15B095DC" w14:textId="1B2E1C90" w:rsidR="0026424A" w:rsidRPr="00D8473C" w:rsidRDefault="00533927" w:rsidP="00B52CDD">
      <w:pPr>
        <w:pStyle w:val="ListParagraph"/>
        <w:numPr>
          <w:ilvl w:val="0"/>
          <w:numId w:val="3"/>
        </w:numPr>
        <w:rPr>
          <w:rFonts w:cstheme="minorHAnsi"/>
          <w:b/>
          <w:bCs/>
          <w:sz w:val="22"/>
          <w:szCs w:val="22"/>
          <w:lang w:val="en-US"/>
        </w:rPr>
      </w:pPr>
      <w:r w:rsidRPr="00D8473C">
        <w:rPr>
          <w:rFonts w:cstheme="minorHAnsi"/>
          <w:b/>
          <w:bCs/>
          <w:sz w:val="22"/>
          <w:szCs w:val="22"/>
          <w:lang w:val="en-US"/>
        </w:rPr>
        <w:t xml:space="preserve">Guiding </w:t>
      </w:r>
      <w:r w:rsidR="0026424A" w:rsidRPr="00D8473C">
        <w:rPr>
          <w:rFonts w:cstheme="minorHAnsi"/>
          <w:b/>
          <w:bCs/>
          <w:sz w:val="22"/>
          <w:szCs w:val="22"/>
          <w:lang w:val="en-US"/>
        </w:rPr>
        <w:t>P</w:t>
      </w:r>
      <w:r w:rsidR="002C3B82" w:rsidRPr="00D8473C">
        <w:rPr>
          <w:rFonts w:cstheme="minorHAnsi"/>
          <w:b/>
          <w:bCs/>
          <w:sz w:val="22"/>
          <w:szCs w:val="22"/>
          <w:lang w:val="en-US"/>
        </w:rPr>
        <w:t>rinciples</w:t>
      </w:r>
      <w:r w:rsidRPr="00D8473C">
        <w:rPr>
          <w:rFonts w:cstheme="minorHAnsi"/>
          <w:b/>
          <w:bCs/>
          <w:sz w:val="22"/>
          <w:szCs w:val="22"/>
          <w:lang w:val="en-US"/>
        </w:rPr>
        <w:t xml:space="preserve"> </w:t>
      </w:r>
    </w:p>
    <w:p w14:paraId="0594B368" w14:textId="760382E7" w:rsidR="00CD2A36" w:rsidRPr="00D8473C" w:rsidRDefault="00CD2A36" w:rsidP="00B52CDD">
      <w:pPr>
        <w:pStyle w:val="ListParagraph"/>
        <w:ind w:left="360"/>
        <w:rPr>
          <w:rFonts w:cstheme="minorHAnsi"/>
          <w:b/>
          <w:bCs/>
          <w:sz w:val="22"/>
          <w:szCs w:val="22"/>
          <w:lang w:val="en-US"/>
        </w:rPr>
      </w:pPr>
    </w:p>
    <w:p w14:paraId="039D6ABB" w14:textId="58BE64CE" w:rsidR="0026424A" w:rsidRPr="00D8473C" w:rsidRDefault="002E057A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Applications should </w:t>
      </w:r>
      <w:r w:rsidR="003468E3" w:rsidRPr="00D8473C">
        <w:rPr>
          <w:rFonts w:cstheme="minorHAnsi"/>
          <w:sz w:val="22"/>
          <w:szCs w:val="22"/>
        </w:rPr>
        <w:t>meet the following</w:t>
      </w:r>
      <w:r w:rsidR="001C570B" w:rsidRPr="00D8473C">
        <w:rPr>
          <w:rFonts w:cstheme="minorHAnsi"/>
          <w:sz w:val="22"/>
          <w:szCs w:val="22"/>
        </w:rPr>
        <w:t xml:space="preserve"> parameters</w:t>
      </w:r>
      <w:r w:rsidR="0026424A" w:rsidRPr="00D8473C">
        <w:rPr>
          <w:rFonts w:cstheme="minorHAnsi"/>
          <w:sz w:val="22"/>
          <w:szCs w:val="22"/>
        </w:rPr>
        <w:t>:</w:t>
      </w:r>
    </w:p>
    <w:p w14:paraId="49143B8F" w14:textId="77777777" w:rsidR="0026424A" w:rsidRPr="00D8473C" w:rsidRDefault="0026424A" w:rsidP="00B52CDD">
      <w:pPr>
        <w:rPr>
          <w:rFonts w:cstheme="minorHAnsi"/>
          <w:sz w:val="22"/>
          <w:szCs w:val="22"/>
        </w:rPr>
      </w:pPr>
    </w:p>
    <w:p w14:paraId="7D956E3C" w14:textId="34DB51C8" w:rsidR="003468E3" w:rsidRPr="00D8473C" w:rsidRDefault="00873CDE" w:rsidP="00B52CDD">
      <w:pPr>
        <w:pStyle w:val="ListParagraph"/>
        <w:numPr>
          <w:ilvl w:val="0"/>
          <w:numId w:val="9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The appointment should lead </w:t>
      </w:r>
      <w:r w:rsidR="003468E3" w:rsidRPr="00D8473C">
        <w:rPr>
          <w:rFonts w:cstheme="minorHAnsi"/>
          <w:sz w:val="22"/>
          <w:szCs w:val="22"/>
        </w:rPr>
        <w:t>r</w:t>
      </w:r>
      <w:r w:rsidRPr="00D8473C">
        <w:rPr>
          <w:rFonts w:cstheme="minorHAnsi"/>
          <w:sz w:val="22"/>
          <w:szCs w:val="22"/>
        </w:rPr>
        <w:t xml:space="preserve">esearch and teaching that would support or link to the </w:t>
      </w:r>
      <w:r w:rsidR="002C7DE7" w:rsidRPr="00D8473C">
        <w:rPr>
          <w:rFonts w:cstheme="minorHAnsi"/>
          <w:sz w:val="22"/>
          <w:szCs w:val="22"/>
        </w:rPr>
        <w:t>School</w:t>
      </w:r>
      <w:r w:rsidR="003C2A4B" w:rsidRPr="00D8473C">
        <w:rPr>
          <w:rFonts w:cstheme="minorHAnsi"/>
          <w:sz w:val="22"/>
          <w:szCs w:val="22"/>
        </w:rPr>
        <w:t xml:space="preserve"> / institution’s</w:t>
      </w:r>
      <w:r w:rsidRPr="00D8473C">
        <w:rPr>
          <w:rFonts w:cstheme="minorHAnsi"/>
          <w:sz w:val="22"/>
          <w:szCs w:val="22"/>
        </w:rPr>
        <w:t xml:space="preserve"> primary academic priorities</w:t>
      </w:r>
      <w:r w:rsidR="002E057A" w:rsidRPr="00D8473C">
        <w:rPr>
          <w:rFonts w:cstheme="minorHAnsi"/>
          <w:sz w:val="22"/>
          <w:szCs w:val="22"/>
        </w:rPr>
        <w:t xml:space="preserve"> </w:t>
      </w:r>
      <w:r w:rsidRPr="00D8473C">
        <w:rPr>
          <w:rFonts w:cstheme="minorHAnsi"/>
          <w:sz w:val="22"/>
          <w:szCs w:val="22"/>
        </w:rPr>
        <w:t>where</w:t>
      </w:r>
      <w:r w:rsidR="002E057A" w:rsidRPr="00D8473C">
        <w:rPr>
          <w:rFonts w:cstheme="minorHAnsi"/>
          <w:sz w:val="22"/>
          <w:szCs w:val="22"/>
        </w:rPr>
        <w:t>ver</w:t>
      </w:r>
      <w:r w:rsidRPr="00D8473C">
        <w:rPr>
          <w:rFonts w:cstheme="minorHAnsi"/>
          <w:sz w:val="22"/>
          <w:szCs w:val="22"/>
        </w:rPr>
        <w:t xml:space="preserve"> possible.</w:t>
      </w:r>
      <w:r w:rsidR="002E057A" w:rsidRPr="00D8473C">
        <w:rPr>
          <w:rFonts w:cstheme="minorHAnsi"/>
          <w:sz w:val="22"/>
          <w:szCs w:val="22"/>
        </w:rPr>
        <w:t xml:space="preserve"> </w:t>
      </w:r>
      <w:r w:rsidR="003468E3" w:rsidRPr="00D8473C">
        <w:rPr>
          <w:rFonts w:cstheme="minorHAnsi"/>
          <w:sz w:val="22"/>
          <w:szCs w:val="22"/>
        </w:rPr>
        <w:t>However, i</w:t>
      </w:r>
      <w:r w:rsidR="002E057A" w:rsidRPr="00D8473C">
        <w:rPr>
          <w:rFonts w:cstheme="minorHAnsi"/>
          <w:sz w:val="22"/>
          <w:szCs w:val="22"/>
        </w:rPr>
        <w:t xml:space="preserve">t is recognised that some </w:t>
      </w:r>
      <w:r w:rsidRPr="00D8473C">
        <w:rPr>
          <w:rFonts w:cstheme="minorHAnsi"/>
          <w:sz w:val="22"/>
          <w:szCs w:val="22"/>
        </w:rPr>
        <w:t xml:space="preserve">academic visions are between </w:t>
      </w:r>
      <w:r w:rsidR="002C7DE7" w:rsidRPr="00D8473C">
        <w:rPr>
          <w:rFonts w:cstheme="minorHAnsi"/>
          <w:sz w:val="22"/>
          <w:szCs w:val="22"/>
        </w:rPr>
        <w:t>School</w:t>
      </w:r>
      <w:r w:rsidRPr="00D8473C">
        <w:rPr>
          <w:rFonts w:cstheme="minorHAnsi"/>
          <w:sz w:val="22"/>
          <w:szCs w:val="22"/>
        </w:rPr>
        <w:t>s or institutions within the same landscape</w:t>
      </w:r>
      <w:r w:rsidR="00533927" w:rsidRPr="00D8473C">
        <w:rPr>
          <w:rFonts w:cstheme="minorHAnsi"/>
          <w:sz w:val="22"/>
          <w:szCs w:val="22"/>
        </w:rPr>
        <w:t>, which is equally valuable in encouraging</w:t>
      </w:r>
      <w:r w:rsidR="00AF689F" w:rsidRPr="00D8473C">
        <w:rPr>
          <w:rFonts w:cstheme="minorHAnsi"/>
          <w:sz w:val="22"/>
          <w:szCs w:val="22"/>
        </w:rPr>
        <w:t xml:space="preserve"> </w:t>
      </w:r>
      <w:r w:rsidR="003468E3" w:rsidRPr="00D8473C">
        <w:rPr>
          <w:rFonts w:cstheme="minorHAnsi"/>
          <w:sz w:val="22"/>
          <w:szCs w:val="22"/>
        </w:rPr>
        <w:t xml:space="preserve">creativity </w:t>
      </w:r>
      <w:r w:rsidRPr="00D8473C">
        <w:rPr>
          <w:rFonts w:cstheme="minorHAnsi"/>
          <w:sz w:val="22"/>
          <w:szCs w:val="22"/>
        </w:rPr>
        <w:t xml:space="preserve">and collaboration across </w:t>
      </w:r>
      <w:r w:rsidR="003468E3" w:rsidRPr="00D8473C">
        <w:rPr>
          <w:rFonts w:cstheme="minorHAnsi"/>
          <w:sz w:val="22"/>
          <w:szCs w:val="22"/>
        </w:rPr>
        <w:t>the University.</w:t>
      </w:r>
    </w:p>
    <w:p w14:paraId="57F13D40" w14:textId="7FAACB9B" w:rsidR="002C3B82" w:rsidRPr="00D8473C" w:rsidRDefault="00533927" w:rsidP="002C3B82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The evaluation</w:t>
      </w:r>
      <w:r w:rsidR="002C3B82" w:rsidRPr="00D8473C">
        <w:rPr>
          <w:rFonts w:cstheme="minorHAnsi"/>
          <w:sz w:val="22"/>
          <w:szCs w:val="22"/>
        </w:rPr>
        <w:t xml:space="preserve"> should consider whether the investments will make a long-term strategic difference to the University. A fundamental question to be answered during the evaluation process will be whether additional investment will yield a long-term difference to our academic impact.</w:t>
      </w:r>
    </w:p>
    <w:p w14:paraId="4808B4F1" w14:textId="3B34EB9A" w:rsidR="002C3B82" w:rsidRPr="00D8473C" w:rsidRDefault="001757FC" w:rsidP="002C3B82">
      <w:pPr>
        <w:pStyle w:val="ListParagraph"/>
        <w:numPr>
          <w:ilvl w:val="0"/>
          <w:numId w:val="9"/>
        </w:numPr>
        <w:spacing w:line="259" w:lineRule="auto"/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A</w:t>
      </w:r>
      <w:r w:rsidR="002C3B82" w:rsidRPr="00D8473C">
        <w:rPr>
          <w:rFonts w:cstheme="minorHAnsi"/>
          <w:sz w:val="22"/>
          <w:szCs w:val="22"/>
        </w:rPr>
        <w:t xml:space="preserve"> measur</w:t>
      </w:r>
      <w:r w:rsidR="00B205A0" w:rsidRPr="00D8473C">
        <w:rPr>
          <w:rFonts w:cstheme="minorHAnsi"/>
          <w:sz w:val="22"/>
          <w:szCs w:val="22"/>
        </w:rPr>
        <w:t>e of success should be how wide</w:t>
      </w:r>
      <w:r w:rsidR="002C3B82" w:rsidRPr="00D8473C">
        <w:rPr>
          <w:rFonts w:cstheme="minorHAnsi"/>
          <w:sz w:val="22"/>
          <w:szCs w:val="22"/>
        </w:rPr>
        <w:t xml:space="preserve">spread the benefits are across the University. </w:t>
      </w:r>
    </w:p>
    <w:p w14:paraId="66815F5F" w14:textId="08E46D0B" w:rsidR="002C3B82" w:rsidRPr="00D8473C" w:rsidRDefault="002C3B82" w:rsidP="002C3B82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The aim should not be to maximise the spending, but to get the minimum needed to secure the appointment.</w:t>
      </w:r>
    </w:p>
    <w:p w14:paraId="53A5BF9B" w14:textId="011BC607" w:rsidR="002C3B82" w:rsidRPr="00D8473C" w:rsidRDefault="003468E3" w:rsidP="00B52CDD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Support will not be given for direct remuneration of the individual (e.g. RIP)</w:t>
      </w:r>
      <w:r w:rsidR="008D190E" w:rsidRPr="00D8473C">
        <w:rPr>
          <w:rFonts w:cstheme="minorHAnsi"/>
          <w:sz w:val="22"/>
          <w:szCs w:val="22"/>
        </w:rPr>
        <w:t>. Th</w:t>
      </w:r>
      <w:r w:rsidR="004F2F66" w:rsidRPr="00D8473C">
        <w:rPr>
          <w:rFonts w:cstheme="minorHAnsi"/>
          <w:sz w:val="22"/>
          <w:szCs w:val="22"/>
        </w:rPr>
        <w:t xml:space="preserve">e fund </w:t>
      </w:r>
      <w:r w:rsidR="008D190E" w:rsidRPr="00D8473C">
        <w:rPr>
          <w:rFonts w:cstheme="minorHAnsi"/>
          <w:sz w:val="22"/>
          <w:szCs w:val="22"/>
        </w:rPr>
        <w:t xml:space="preserve">should be considered as </w:t>
      </w:r>
      <w:r w:rsidRPr="00D8473C">
        <w:rPr>
          <w:rFonts w:cstheme="minorHAnsi"/>
          <w:sz w:val="22"/>
          <w:szCs w:val="22"/>
        </w:rPr>
        <w:t>a re-investment in the University</w:t>
      </w:r>
      <w:r w:rsidR="002C3B82" w:rsidRPr="00D8473C">
        <w:rPr>
          <w:rFonts w:cstheme="minorHAnsi"/>
          <w:sz w:val="22"/>
          <w:szCs w:val="22"/>
        </w:rPr>
        <w:t xml:space="preserve"> and is aimed at supporting</w:t>
      </w:r>
      <w:r w:rsidRPr="00D8473C">
        <w:rPr>
          <w:rFonts w:cstheme="minorHAnsi"/>
          <w:sz w:val="22"/>
          <w:szCs w:val="22"/>
        </w:rPr>
        <w:t xml:space="preserve"> </w:t>
      </w:r>
      <w:r w:rsidR="002C3B82" w:rsidRPr="00D8473C">
        <w:rPr>
          <w:rFonts w:cstheme="minorHAnsi"/>
          <w:sz w:val="22"/>
          <w:szCs w:val="22"/>
        </w:rPr>
        <w:t xml:space="preserve">the </w:t>
      </w:r>
      <w:r w:rsidRPr="00D8473C">
        <w:rPr>
          <w:rFonts w:cstheme="minorHAnsi"/>
          <w:sz w:val="22"/>
          <w:szCs w:val="22"/>
        </w:rPr>
        <w:t>infrastructure for individuals to do their job as efficiently and effectively as possible</w:t>
      </w:r>
      <w:r w:rsidR="004F2F66" w:rsidRPr="00D8473C">
        <w:rPr>
          <w:rFonts w:cstheme="minorHAnsi"/>
          <w:sz w:val="22"/>
          <w:szCs w:val="22"/>
        </w:rPr>
        <w:t>.</w:t>
      </w:r>
    </w:p>
    <w:p w14:paraId="5242CE71" w14:textId="33FAA2E7" w:rsidR="003468E3" w:rsidRPr="00D8473C" w:rsidRDefault="002C3B82" w:rsidP="00B52CDD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The fund should cover </w:t>
      </w:r>
      <w:r w:rsidR="003468E3" w:rsidRPr="00D8473C">
        <w:rPr>
          <w:rFonts w:cstheme="minorHAnsi"/>
          <w:sz w:val="22"/>
          <w:szCs w:val="22"/>
        </w:rPr>
        <w:t>non-recurring costs</w:t>
      </w:r>
      <w:r w:rsidR="004F2F66" w:rsidRPr="00D8473C">
        <w:rPr>
          <w:rFonts w:cstheme="minorHAnsi"/>
          <w:sz w:val="22"/>
          <w:szCs w:val="22"/>
        </w:rPr>
        <w:t>,</w:t>
      </w:r>
      <w:r w:rsidR="003468E3" w:rsidRPr="00D8473C">
        <w:rPr>
          <w:rFonts w:cstheme="minorHAnsi"/>
          <w:sz w:val="22"/>
          <w:szCs w:val="22"/>
        </w:rPr>
        <w:t xml:space="preserve"> </w:t>
      </w:r>
      <w:r w:rsidR="004F2F66" w:rsidRPr="00D8473C">
        <w:rPr>
          <w:rFonts w:cstheme="minorHAnsi"/>
          <w:sz w:val="22"/>
          <w:szCs w:val="22"/>
        </w:rPr>
        <w:t>including but not limited to,</w:t>
      </w:r>
      <w:r w:rsidR="003468E3" w:rsidRPr="00D8473C">
        <w:rPr>
          <w:rFonts w:cstheme="minorHAnsi"/>
          <w:sz w:val="22"/>
          <w:szCs w:val="22"/>
        </w:rPr>
        <w:t xml:space="preserve"> facilities, equipment, studentships, </w:t>
      </w:r>
      <w:r w:rsidRPr="00D8473C">
        <w:rPr>
          <w:rFonts w:cstheme="minorHAnsi"/>
          <w:sz w:val="22"/>
          <w:szCs w:val="22"/>
        </w:rPr>
        <w:t>junior academics</w:t>
      </w:r>
      <w:r w:rsidR="00415AC5" w:rsidRPr="00D8473C">
        <w:rPr>
          <w:rFonts w:cstheme="minorHAnsi"/>
          <w:sz w:val="22"/>
          <w:szCs w:val="22"/>
        </w:rPr>
        <w:t xml:space="preserve"> (</w:t>
      </w:r>
      <w:r w:rsidR="00851D01" w:rsidRPr="00D8473C">
        <w:rPr>
          <w:rFonts w:cstheme="minorHAnsi"/>
          <w:sz w:val="22"/>
          <w:szCs w:val="22"/>
        </w:rPr>
        <w:t xml:space="preserve">defined as </w:t>
      </w:r>
      <w:r w:rsidR="00415AC5" w:rsidRPr="00D8473C">
        <w:rPr>
          <w:rFonts w:cstheme="minorHAnsi"/>
          <w:sz w:val="22"/>
          <w:szCs w:val="22"/>
        </w:rPr>
        <w:t>recent graduates /post-graduates a</w:t>
      </w:r>
      <w:r w:rsidR="00043876" w:rsidRPr="00D8473C">
        <w:rPr>
          <w:rFonts w:cstheme="minorHAnsi"/>
          <w:sz w:val="22"/>
          <w:szCs w:val="22"/>
        </w:rPr>
        <w:t>n</w:t>
      </w:r>
      <w:r w:rsidR="00415AC5" w:rsidRPr="00D8473C">
        <w:rPr>
          <w:rFonts w:cstheme="minorHAnsi"/>
          <w:sz w:val="22"/>
          <w:szCs w:val="22"/>
        </w:rPr>
        <w:t>d newly qualified postdocs working in academia)</w:t>
      </w:r>
      <w:r w:rsidRPr="00D8473C">
        <w:rPr>
          <w:rFonts w:cstheme="minorHAnsi"/>
          <w:sz w:val="22"/>
          <w:szCs w:val="22"/>
        </w:rPr>
        <w:t xml:space="preserve"> and support staff.</w:t>
      </w:r>
    </w:p>
    <w:p w14:paraId="27656160" w14:textId="1E097BED" w:rsidR="007A4016" w:rsidRPr="00D8473C" w:rsidRDefault="003468E3" w:rsidP="0005731D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Co-funding should be sought as far as possible. </w:t>
      </w:r>
      <w:r w:rsidR="002C3B82" w:rsidRPr="00D8473C">
        <w:rPr>
          <w:rFonts w:cstheme="minorHAnsi"/>
          <w:sz w:val="22"/>
          <w:szCs w:val="22"/>
        </w:rPr>
        <w:t xml:space="preserve">Schools and institutions will be asked to call on all its resources that are relevant to that position and only if there is still </w:t>
      </w:r>
      <w:r w:rsidR="004F2F66" w:rsidRPr="00D8473C">
        <w:rPr>
          <w:rFonts w:cstheme="minorHAnsi"/>
          <w:sz w:val="22"/>
          <w:szCs w:val="22"/>
        </w:rPr>
        <w:t xml:space="preserve">a </w:t>
      </w:r>
      <w:r w:rsidR="002C3B82" w:rsidRPr="00D8473C">
        <w:rPr>
          <w:rFonts w:cstheme="minorHAnsi"/>
          <w:sz w:val="22"/>
          <w:szCs w:val="22"/>
        </w:rPr>
        <w:t xml:space="preserve">deficit should this fund be used to top up. </w:t>
      </w:r>
      <w:r w:rsidRPr="00D8473C">
        <w:rPr>
          <w:rFonts w:cstheme="minorHAnsi"/>
          <w:sz w:val="22"/>
          <w:szCs w:val="22"/>
        </w:rPr>
        <w:t>Those</w:t>
      </w:r>
      <w:r w:rsidR="002C3B82" w:rsidRPr="00D8473C">
        <w:rPr>
          <w:rFonts w:cstheme="minorHAnsi"/>
          <w:sz w:val="22"/>
          <w:szCs w:val="22"/>
        </w:rPr>
        <w:t xml:space="preserve"> that</w:t>
      </w:r>
      <w:r w:rsidRPr="00D8473C">
        <w:rPr>
          <w:rFonts w:cstheme="minorHAnsi"/>
          <w:sz w:val="22"/>
          <w:szCs w:val="22"/>
        </w:rPr>
        <w:t xml:space="preserve"> have fund</w:t>
      </w:r>
      <w:r w:rsidR="007A4016" w:rsidRPr="00D8473C">
        <w:rPr>
          <w:rFonts w:cstheme="minorHAnsi"/>
          <w:sz w:val="22"/>
          <w:szCs w:val="22"/>
        </w:rPr>
        <w:t>s are expected</w:t>
      </w:r>
      <w:r w:rsidRPr="00D8473C">
        <w:rPr>
          <w:rFonts w:cstheme="minorHAnsi"/>
          <w:sz w:val="22"/>
          <w:szCs w:val="22"/>
        </w:rPr>
        <w:t xml:space="preserve"> to contribute</w:t>
      </w:r>
      <w:r w:rsidR="009D762E" w:rsidRPr="00D8473C">
        <w:rPr>
          <w:rFonts w:cstheme="minorHAnsi"/>
          <w:sz w:val="22"/>
          <w:szCs w:val="22"/>
        </w:rPr>
        <w:t xml:space="preserve"> and </w:t>
      </w:r>
      <w:r w:rsidR="007A4016" w:rsidRPr="00D8473C">
        <w:rPr>
          <w:rFonts w:cstheme="minorHAnsi"/>
          <w:sz w:val="22"/>
          <w:szCs w:val="22"/>
        </w:rPr>
        <w:t xml:space="preserve">an institution’s ability to co-fund </w:t>
      </w:r>
      <w:r w:rsidR="009D762E" w:rsidRPr="00D8473C">
        <w:rPr>
          <w:rFonts w:cstheme="minorHAnsi"/>
          <w:sz w:val="22"/>
          <w:szCs w:val="22"/>
        </w:rPr>
        <w:t>will</w:t>
      </w:r>
      <w:r w:rsidR="007A4016" w:rsidRPr="00D8473C">
        <w:rPr>
          <w:rFonts w:cstheme="minorHAnsi"/>
          <w:sz w:val="22"/>
          <w:szCs w:val="22"/>
        </w:rPr>
        <w:t xml:space="preserve"> be </w:t>
      </w:r>
      <w:r w:rsidR="002011F5" w:rsidRPr="00D8473C">
        <w:rPr>
          <w:rFonts w:cstheme="minorHAnsi"/>
          <w:sz w:val="22"/>
          <w:szCs w:val="22"/>
        </w:rPr>
        <w:t>considered</w:t>
      </w:r>
      <w:r w:rsidRPr="00D8473C">
        <w:rPr>
          <w:rFonts w:cstheme="minorHAnsi"/>
          <w:sz w:val="22"/>
          <w:szCs w:val="22"/>
        </w:rPr>
        <w:t xml:space="preserve"> in </w:t>
      </w:r>
      <w:r w:rsidR="007A4016" w:rsidRPr="00D8473C">
        <w:rPr>
          <w:rFonts w:cstheme="minorHAnsi"/>
          <w:sz w:val="22"/>
          <w:szCs w:val="22"/>
        </w:rPr>
        <w:t xml:space="preserve">the </w:t>
      </w:r>
      <w:r w:rsidRPr="00D8473C">
        <w:rPr>
          <w:rFonts w:cstheme="minorHAnsi"/>
          <w:sz w:val="22"/>
          <w:szCs w:val="22"/>
        </w:rPr>
        <w:t>assessment</w:t>
      </w:r>
      <w:r w:rsidR="007A4016" w:rsidRPr="00D8473C">
        <w:rPr>
          <w:rFonts w:cstheme="minorHAnsi"/>
          <w:sz w:val="22"/>
          <w:szCs w:val="22"/>
        </w:rPr>
        <w:t xml:space="preserve"> of the application</w:t>
      </w:r>
      <w:r w:rsidR="002011F5" w:rsidRPr="00D8473C">
        <w:rPr>
          <w:rFonts w:cstheme="minorHAnsi"/>
          <w:sz w:val="22"/>
          <w:szCs w:val="22"/>
        </w:rPr>
        <w:t>, although</w:t>
      </w:r>
      <w:r w:rsidR="00043876" w:rsidRPr="00D8473C">
        <w:rPr>
          <w:rFonts w:cstheme="minorHAnsi"/>
          <w:sz w:val="22"/>
          <w:szCs w:val="22"/>
        </w:rPr>
        <w:t xml:space="preserve"> </w:t>
      </w:r>
      <w:r w:rsidR="009D762E" w:rsidRPr="00D8473C">
        <w:rPr>
          <w:rFonts w:cstheme="minorHAnsi"/>
          <w:sz w:val="22"/>
          <w:szCs w:val="22"/>
        </w:rPr>
        <w:t>i</w:t>
      </w:r>
      <w:r w:rsidR="007A4016" w:rsidRPr="00D8473C">
        <w:rPr>
          <w:rFonts w:cstheme="minorHAnsi"/>
          <w:sz w:val="22"/>
          <w:szCs w:val="22"/>
        </w:rPr>
        <w:t>t is recognised that there will be opportunities that may not lend to match funding</w:t>
      </w:r>
      <w:r w:rsidR="009D762E" w:rsidRPr="00D8473C">
        <w:rPr>
          <w:rFonts w:cstheme="minorHAnsi"/>
          <w:sz w:val="22"/>
          <w:szCs w:val="22"/>
        </w:rPr>
        <w:t>. In such cases, the institution should provide</w:t>
      </w:r>
      <w:r w:rsidR="002011F5" w:rsidRPr="00D8473C">
        <w:rPr>
          <w:rFonts w:cstheme="minorHAnsi"/>
          <w:sz w:val="22"/>
          <w:szCs w:val="22"/>
        </w:rPr>
        <w:t xml:space="preserve"> </w:t>
      </w:r>
      <w:r w:rsidR="00B25F2C" w:rsidRPr="00D8473C">
        <w:rPr>
          <w:rFonts w:cstheme="minorHAnsi"/>
          <w:sz w:val="22"/>
          <w:szCs w:val="22"/>
        </w:rPr>
        <w:t xml:space="preserve">information to support their case </w:t>
      </w:r>
      <w:r w:rsidR="002011F5" w:rsidRPr="00D8473C">
        <w:rPr>
          <w:rFonts w:cstheme="minorHAnsi"/>
          <w:sz w:val="22"/>
          <w:szCs w:val="22"/>
        </w:rPr>
        <w:t>as part of the application.</w:t>
      </w:r>
    </w:p>
    <w:p w14:paraId="7978B7BF" w14:textId="14738BCD" w:rsidR="004F2F66" w:rsidRPr="00D8473C" w:rsidRDefault="003B42A6" w:rsidP="00132246">
      <w:pPr>
        <w:pStyle w:val="ListParagraph"/>
        <w:numPr>
          <w:ilvl w:val="0"/>
          <w:numId w:val="9"/>
        </w:numPr>
        <w:spacing w:line="259" w:lineRule="auto"/>
        <w:rPr>
          <w:rFonts w:cstheme="minorHAnsi"/>
          <w:b/>
          <w:bCs/>
          <w:sz w:val="22"/>
          <w:szCs w:val="22"/>
          <w:lang w:val="en-US"/>
        </w:rPr>
      </w:pPr>
      <w:r w:rsidRPr="00D8473C">
        <w:rPr>
          <w:rFonts w:cstheme="minorHAnsi"/>
          <w:sz w:val="22"/>
          <w:szCs w:val="22"/>
        </w:rPr>
        <w:lastRenderedPageBreak/>
        <w:t xml:space="preserve">No </w:t>
      </w:r>
      <w:r w:rsidR="00AC682B" w:rsidRPr="00D8473C">
        <w:rPr>
          <w:rFonts w:cstheme="minorHAnsi"/>
          <w:sz w:val="22"/>
          <w:szCs w:val="22"/>
        </w:rPr>
        <w:t>financial parameters</w:t>
      </w:r>
      <w:r w:rsidR="004F2F66" w:rsidRPr="00D8473C">
        <w:rPr>
          <w:rFonts w:cstheme="minorHAnsi"/>
          <w:sz w:val="22"/>
          <w:szCs w:val="22"/>
        </w:rPr>
        <w:t xml:space="preserve"> will be</w:t>
      </w:r>
      <w:r w:rsidR="00AC682B" w:rsidRPr="00D8473C">
        <w:rPr>
          <w:rFonts w:cstheme="minorHAnsi"/>
          <w:sz w:val="22"/>
          <w:szCs w:val="22"/>
        </w:rPr>
        <w:t xml:space="preserve"> </w:t>
      </w:r>
      <w:r w:rsidRPr="00D8473C">
        <w:rPr>
          <w:rFonts w:cstheme="minorHAnsi"/>
          <w:sz w:val="22"/>
          <w:szCs w:val="22"/>
        </w:rPr>
        <w:t xml:space="preserve">set to avoid </w:t>
      </w:r>
      <w:r w:rsidR="00132246" w:rsidRPr="00D8473C">
        <w:rPr>
          <w:rFonts w:cstheme="minorHAnsi"/>
          <w:sz w:val="22"/>
          <w:szCs w:val="22"/>
        </w:rPr>
        <w:t xml:space="preserve">the process </w:t>
      </w:r>
      <w:r w:rsidRPr="00D8473C">
        <w:rPr>
          <w:rFonts w:cstheme="minorHAnsi"/>
          <w:sz w:val="22"/>
          <w:szCs w:val="22"/>
        </w:rPr>
        <w:t>becoming financially driven</w:t>
      </w:r>
      <w:r w:rsidR="002C3B82" w:rsidRPr="00D8473C">
        <w:rPr>
          <w:rFonts w:cstheme="minorHAnsi"/>
          <w:sz w:val="22"/>
          <w:szCs w:val="22"/>
        </w:rPr>
        <w:t xml:space="preserve"> and a competition for funds</w:t>
      </w:r>
      <w:r w:rsidR="00132246" w:rsidRPr="00D8473C">
        <w:rPr>
          <w:rFonts w:cstheme="minorHAnsi"/>
          <w:sz w:val="22"/>
          <w:szCs w:val="22"/>
        </w:rPr>
        <w:t xml:space="preserve"> rather than</w:t>
      </w:r>
      <w:r w:rsidR="001C570B" w:rsidRPr="00D8473C">
        <w:rPr>
          <w:rFonts w:cstheme="minorHAnsi"/>
          <w:sz w:val="22"/>
          <w:szCs w:val="22"/>
        </w:rPr>
        <w:t xml:space="preserve"> for</w:t>
      </w:r>
      <w:r w:rsidR="00132246" w:rsidRPr="00D8473C">
        <w:rPr>
          <w:rFonts w:cstheme="minorHAnsi"/>
          <w:sz w:val="22"/>
          <w:szCs w:val="22"/>
        </w:rPr>
        <w:t xml:space="preserve"> the purpose it was intended</w:t>
      </w:r>
      <w:r w:rsidR="002D5845" w:rsidRPr="00D8473C">
        <w:rPr>
          <w:rFonts w:cstheme="minorHAnsi"/>
          <w:sz w:val="22"/>
          <w:szCs w:val="22"/>
        </w:rPr>
        <w:t>,</w:t>
      </w:r>
      <w:r w:rsidR="001C570B" w:rsidRPr="00D8473C">
        <w:rPr>
          <w:rFonts w:cstheme="minorHAnsi"/>
          <w:sz w:val="22"/>
          <w:szCs w:val="22"/>
        </w:rPr>
        <w:t xml:space="preserve"> to attract and secure key senior appointments</w:t>
      </w:r>
      <w:r w:rsidR="00132246" w:rsidRPr="00D8473C">
        <w:rPr>
          <w:rFonts w:cstheme="minorHAnsi"/>
          <w:sz w:val="22"/>
          <w:szCs w:val="22"/>
        </w:rPr>
        <w:t>.</w:t>
      </w:r>
      <w:r w:rsidR="004F2F66" w:rsidRPr="00D8473C">
        <w:rPr>
          <w:rFonts w:cstheme="minorHAnsi"/>
          <w:sz w:val="22"/>
          <w:szCs w:val="22"/>
        </w:rPr>
        <w:t xml:space="preserve"> </w:t>
      </w:r>
    </w:p>
    <w:p w14:paraId="64B9519A" w14:textId="6D87DB43" w:rsidR="0026424A" w:rsidRPr="005A3169" w:rsidRDefault="004F2F66" w:rsidP="004F2F66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b/>
          <w:bCs/>
          <w:sz w:val="22"/>
          <w:szCs w:val="22"/>
          <w:lang w:val="en-US"/>
        </w:rPr>
      </w:pPr>
      <w:r w:rsidRPr="00D8473C">
        <w:rPr>
          <w:rFonts w:cstheme="minorHAnsi"/>
          <w:sz w:val="22"/>
          <w:szCs w:val="22"/>
        </w:rPr>
        <w:t>In the spirit of the initiative</w:t>
      </w:r>
      <w:r w:rsidR="002D5845" w:rsidRPr="00D8473C">
        <w:rPr>
          <w:rFonts w:cstheme="minorHAnsi"/>
          <w:sz w:val="22"/>
          <w:szCs w:val="22"/>
        </w:rPr>
        <w:t>,</w:t>
      </w:r>
      <w:r w:rsidRPr="00D8473C">
        <w:rPr>
          <w:rFonts w:cstheme="minorHAnsi"/>
          <w:sz w:val="22"/>
          <w:szCs w:val="22"/>
        </w:rPr>
        <w:t xml:space="preserve"> </w:t>
      </w:r>
      <w:r w:rsidR="002C7DE7" w:rsidRPr="00D8473C">
        <w:rPr>
          <w:rFonts w:cstheme="minorHAnsi"/>
          <w:sz w:val="22"/>
          <w:szCs w:val="22"/>
        </w:rPr>
        <w:t>School</w:t>
      </w:r>
      <w:r w:rsidRPr="00D8473C">
        <w:rPr>
          <w:rFonts w:cstheme="minorHAnsi"/>
          <w:sz w:val="22"/>
          <w:szCs w:val="22"/>
        </w:rPr>
        <w:t>s / institutions will be trusted to determine the</w:t>
      </w:r>
      <w:r w:rsidR="002D5845" w:rsidRPr="00D8473C">
        <w:rPr>
          <w:rFonts w:cstheme="minorHAnsi"/>
          <w:sz w:val="22"/>
          <w:szCs w:val="22"/>
        </w:rPr>
        <w:t>ir</w:t>
      </w:r>
      <w:r w:rsidRPr="00D8473C">
        <w:rPr>
          <w:rFonts w:cstheme="minorHAnsi"/>
          <w:sz w:val="22"/>
          <w:szCs w:val="22"/>
        </w:rPr>
        <w:t xml:space="preserve"> needs</w:t>
      </w:r>
      <w:r w:rsidR="00415AC5" w:rsidRPr="00D8473C">
        <w:rPr>
          <w:rFonts w:cstheme="minorHAnsi"/>
          <w:sz w:val="22"/>
          <w:szCs w:val="22"/>
        </w:rPr>
        <w:t>. There is a finite amount of funds allocated per year</w:t>
      </w:r>
      <w:r w:rsidRPr="00D8473C">
        <w:rPr>
          <w:rFonts w:cstheme="minorHAnsi"/>
          <w:sz w:val="22"/>
          <w:szCs w:val="22"/>
        </w:rPr>
        <w:t>; once the funds are spent there will be no further funding available</w:t>
      </w:r>
      <w:r w:rsidR="00B205A0" w:rsidRPr="00D8473C">
        <w:rPr>
          <w:rFonts w:cstheme="minorHAnsi"/>
          <w:sz w:val="22"/>
          <w:szCs w:val="22"/>
        </w:rPr>
        <w:t xml:space="preserve"> to support the scheme</w:t>
      </w:r>
      <w:r w:rsidRPr="00D8473C">
        <w:rPr>
          <w:rFonts w:cstheme="minorHAnsi"/>
          <w:sz w:val="22"/>
          <w:szCs w:val="22"/>
        </w:rPr>
        <w:t>.</w:t>
      </w:r>
    </w:p>
    <w:p w14:paraId="0FF380B5" w14:textId="77777777" w:rsidR="005A3169" w:rsidRPr="00D8473C" w:rsidRDefault="005A3169" w:rsidP="005A3169">
      <w:pPr>
        <w:pStyle w:val="ListParagraph"/>
        <w:spacing w:after="160" w:line="259" w:lineRule="auto"/>
        <w:ind w:left="1080"/>
        <w:rPr>
          <w:rFonts w:cstheme="minorHAnsi"/>
          <w:b/>
          <w:bCs/>
          <w:sz w:val="22"/>
          <w:szCs w:val="22"/>
          <w:lang w:val="en-US"/>
        </w:rPr>
      </w:pPr>
    </w:p>
    <w:p w14:paraId="064252DC" w14:textId="39949F50" w:rsidR="00B56F74" w:rsidRPr="00D8473C" w:rsidRDefault="00B56F74" w:rsidP="00B52CDD">
      <w:pPr>
        <w:pStyle w:val="ListParagraph"/>
        <w:numPr>
          <w:ilvl w:val="0"/>
          <w:numId w:val="3"/>
        </w:numPr>
        <w:rPr>
          <w:rFonts w:cstheme="minorHAnsi"/>
          <w:b/>
          <w:bCs/>
          <w:sz w:val="22"/>
          <w:szCs w:val="22"/>
          <w:lang w:val="en-US"/>
        </w:rPr>
      </w:pPr>
      <w:r w:rsidRPr="00D8473C">
        <w:rPr>
          <w:rFonts w:cstheme="minorHAnsi"/>
          <w:b/>
          <w:bCs/>
          <w:sz w:val="22"/>
          <w:szCs w:val="22"/>
          <w:lang w:val="en-US"/>
        </w:rPr>
        <w:t>Application and approval process</w:t>
      </w:r>
    </w:p>
    <w:p w14:paraId="5F5CFDE4" w14:textId="77777777" w:rsidR="0026424A" w:rsidRPr="00D8473C" w:rsidRDefault="0026424A" w:rsidP="00B52CDD">
      <w:pPr>
        <w:rPr>
          <w:rFonts w:cstheme="minorHAnsi"/>
          <w:i/>
          <w:iCs/>
          <w:sz w:val="22"/>
          <w:szCs w:val="22"/>
        </w:rPr>
      </w:pPr>
    </w:p>
    <w:p w14:paraId="7A873D07" w14:textId="50B5703F" w:rsidR="00132246" w:rsidRPr="00D8473C" w:rsidRDefault="00B56F74" w:rsidP="00B52CDD">
      <w:pPr>
        <w:rPr>
          <w:rFonts w:cstheme="minorHAnsi"/>
          <w:i/>
          <w:iCs/>
          <w:sz w:val="22"/>
          <w:szCs w:val="22"/>
          <w:u w:val="single"/>
        </w:rPr>
      </w:pPr>
      <w:r w:rsidRPr="00D8473C">
        <w:rPr>
          <w:rFonts w:cstheme="minorHAnsi"/>
          <w:i/>
          <w:iCs/>
          <w:sz w:val="22"/>
          <w:szCs w:val="22"/>
          <w:u w:val="single"/>
        </w:rPr>
        <w:t>Application process</w:t>
      </w:r>
    </w:p>
    <w:p w14:paraId="74B308D9" w14:textId="0F7648D5" w:rsidR="00C35683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The </w:t>
      </w:r>
      <w:r w:rsidR="00603592">
        <w:rPr>
          <w:rFonts w:cstheme="minorHAnsi"/>
          <w:sz w:val="22"/>
          <w:szCs w:val="22"/>
        </w:rPr>
        <w:t xml:space="preserve">relevant institution </w:t>
      </w:r>
      <w:r w:rsidRPr="00D8473C">
        <w:rPr>
          <w:rFonts w:cstheme="minorHAnsi"/>
          <w:sz w:val="22"/>
          <w:szCs w:val="22"/>
        </w:rPr>
        <w:t xml:space="preserve">will submit an internal application form making the case for support, </w:t>
      </w:r>
      <w:r w:rsidR="00603592">
        <w:rPr>
          <w:rFonts w:cstheme="minorHAnsi"/>
          <w:sz w:val="22"/>
          <w:szCs w:val="22"/>
        </w:rPr>
        <w:t xml:space="preserve">providing </w:t>
      </w:r>
      <w:r w:rsidRPr="00D8473C">
        <w:rPr>
          <w:rFonts w:cstheme="minorHAnsi"/>
          <w:sz w:val="22"/>
          <w:szCs w:val="22"/>
        </w:rPr>
        <w:t xml:space="preserve">details of the appointment in </w:t>
      </w:r>
      <w:r w:rsidR="002D5845" w:rsidRPr="00D8473C">
        <w:rPr>
          <w:rFonts w:cstheme="minorHAnsi"/>
          <w:sz w:val="22"/>
          <w:szCs w:val="22"/>
        </w:rPr>
        <w:t>Ap</w:t>
      </w:r>
      <w:r w:rsidRPr="00D8473C">
        <w:rPr>
          <w:rFonts w:cstheme="minorHAnsi"/>
          <w:sz w:val="22"/>
          <w:szCs w:val="22"/>
        </w:rPr>
        <w:t xml:space="preserve">pendix </w:t>
      </w:r>
      <w:r w:rsidR="002D5845" w:rsidRPr="00D8473C">
        <w:rPr>
          <w:rFonts w:cstheme="minorHAnsi"/>
          <w:sz w:val="22"/>
          <w:szCs w:val="22"/>
        </w:rPr>
        <w:t xml:space="preserve">A </w:t>
      </w:r>
      <w:r w:rsidRPr="00D8473C">
        <w:rPr>
          <w:rFonts w:cstheme="minorHAnsi"/>
          <w:sz w:val="22"/>
          <w:szCs w:val="22"/>
        </w:rPr>
        <w:t xml:space="preserve">and confirmation of support from the Head of the Department </w:t>
      </w:r>
      <w:r w:rsidR="00C35683" w:rsidRPr="00D8473C">
        <w:rPr>
          <w:rFonts w:cstheme="minorHAnsi"/>
          <w:sz w:val="22"/>
          <w:szCs w:val="22"/>
        </w:rPr>
        <w:t xml:space="preserve">and Head of School </w:t>
      </w:r>
      <w:r w:rsidRPr="00D8473C">
        <w:rPr>
          <w:rFonts w:cstheme="minorHAnsi"/>
          <w:sz w:val="22"/>
          <w:szCs w:val="22"/>
        </w:rPr>
        <w:t xml:space="preserve">to the </w:t>
      </w:r>
      <w:r w:rsidR="00C81966" w:rsidRPr="00D8473C">
        <w:rPr>
          <w:rFonts w:cstheme="minorHAnsi"/>
          <w:sz w:val="22"/>
          <w:szCs w:val="22"/>
        </w:rPr>
        <w:t>PASOG</w:t>
      </w:r>
      <w:r w:rsidRPr="00D8473C">
        <w:rPr>
          <w:rFonts w:cstheme="minorHAnsi"/>
          <w:sz w:val="22"/>
          <w:szCs w:val="22"/>
        </w:rPr>
        <w:t xml:space="preserve"> Secretary. </w:t>
      </w:r>
      <w:r w:rsidR="00603592">
        <w:rPr>
          <w:rFonts w:cstheme="minorHAnsi"/>
          <w:sz w:val="22"/>
          <w:szCs w:val="22"/>
        </w:rPr>
        <w:t xml:space="preserve"> </w:t>
      </w:r>
      <w:r w:rsidR="00603592" w:rsidRPr="003B62A8">
        <w:rPr>
          <w:rFonts w:cstheme="minorHAnsi"/>
          <w:sz w:val="22"/>
          <w:szCs w:val="22"/>
        </w:rPr>
        <w:t>A background financial statement from the Finance Manager/equivalent setting out the School/Institution’s contribution towards this appointment, together with the appointee’s strategic plan and CV should be attached to the form.</w:t>
      </w:r>
    </w:p>
    <w:p w14:paraId="0005B882" w14:textId="77777777" w:rsidR="00C35683" w:rsidRPr="00D8473C" w:rsidRDefault="00C35683" w:rsidP="00B52CDD">
      <w:pPr>
        <w:rPr>
          <w:rFonts w:cstheme="minorHAnsi"/>
          <w:sz w:val="22"/>
          <w:szCs w:val="22"/>
        </w:rPr>
      </w:pPr>
    </w:p>
    <w:p w14:paraId="6C9CB7E8" w14:textId="27CC8E9D" w:rsidR="00873CDE" w:rsidRPr="00D8473C" w:rsidRDefault="00B56F74" w:rsidP="008D190E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Requests for funding should be submitted to the </w:t>
      </w:r>
      <w:r w:rsidR="00C81966" w:rsidRPr="00D8473C">
        <w:rPr>
          <w:rFonts w:cstheme="minorHAnsi"/>
          <w:sz w:val="22"/>
          <w:szCs w:val="22"/>
        </w:rPr>
        <w:t xml:space="preserve">PASOG </w:t>
      </w:r>
      <w:r w:rsidRPr="00D8473C">
        <w:rPr>
          <w:rFonts w:cstheme="minorHAnsi"/>
          <w:sz w:val="22"/>
          <w:szCs w:val="22"/>
        </w:rPr>
        <w:t>as early as possible following completion of the appointment process</w:t>
      </w:r>
      <w:r w:rsidR="00FA6E00" w:rsidRPr="00D8473C">
        <w:rPr>
          <w:rFonts w:cstheme="minorHAnsi"/>
          <w:sz w:val="22"/>
          <w:szCs w:val="22"/>
        </w:rPr>
        <w:t>,</w:t>
      </w:r>
      <w:r w:rsidR="008D190E" w:rsidRPr="00D8473C">
        <w:rPr>
          <w:rFonts w:cstheme="minorHAnsi"/>
          <w:sz w:val="22"/>
          <w:szCs w:val="22"/>
        </w:rPr>
        <w:t xml:space="preserve"> at the point a preferred candidate is identified and before an offer is accepted</w:t>
      </w:r>
      <w:r w:rsidRPr="00D8473C">
        <w:rPr>
          <w:rFonts w:cstheme="minorHAnsi"/>
          <w:sz w:val="22"/>
          <w:szCs w:val="22"/>
        </w:rPr>
        <w:t>.</w:t>
      </w:r>
      <w:r w:rsidR="008D190E" w:rsidRPr="00D8473C">
        <w:rPr>
          <w:rFonts w:cstheme="minorHAnsi"/>
          <w:sz w:val="22"/>
          <w:szCs w:val="22"/>
        </w:rPr>
        <w:t xml:space="preserve"> </w:t>
      </w:r>
      <w:r w:rsidR="003538B4" w:rsidRPr="00D8473C">
        <w:rPr>
          <w:rFonts w:cstheme="minorHAnsi"/>
          <w:sz w:val="22"/>
          <w:szCs w:val="22"/>
        </w:rPr>
        <w:t>As part of their annual wo</w:t>
      </w:r>
      <w:r w:rsidR="00043876" w:rsidRPr="00D8473C">
        <w:rPr>
          <w:rFonts w:cstheme="minorHAnsi"/>
          <w:sz w:val="22"/>
          <w:szCs w:val="22"/>
        </w:rPr>
        <w:t>r</w:t>
      </w:r>
      <w:r w:rsidR="003538B4" w:rsidRPr="00D8473C">
        <w:rPr>
          <w:rFonts w:cstheme="minorHAnsi"/>
          <w:sz w:val="22"/>
          <w:szCs w:val="22"/>
        </w:rPr>
        <w:t>kforce planning process (</w:t>
      </w:r>
      <w:r w:rsidR="00043876" w:rsidRPr="00D8473C">
        <w:rPr>
          <w:rFonts w:cstheme="minorHAnsi"/>
          <w:sz w:val="22"/>
          <w:szCs w:val="22"/>
        </w:rPr>
        <w:t xml:space="preserve">or </w:t>
      </w:r>
      <w:r w:rsidR="003538B4" w:rsidRPr="00D8473C">
        <w:rPr>
          <w:rFonts w:cstheme="minorHAnsi"/>
          <w:sz w:val="22"/>
          <w:szCs w:val="22"/>
        </w:rPr>
        <w:t>w</w:t>
      </w:r>
      <w:r w:rsidR="008D190E" w:rsidRPr="00D8473C">
        <w:rPr>
          <w:rFonts w:cstheme="minorHAnsi"/>
          <w:sz w:val="22"/>
          <w:szCs w:val="22"/>
        </w:rPr>
        <w:t>here possibl</w:t>
      </w:r>
      <w:r w:rsidR="00043876" w:rsidRPr="00D8473C">
        <w:rPr>
          <w:rFonts w:cstheme="minorHAnsi"/>
          <w:sz w:val="22"/>
          <w:szCs w:val="22"/>
        </w:rPr>
        <w:t>e</w:t>
      </w:r>
      <w:r w:rsidR="003538B4" w:rsidRPr="00D8473C">
        <w:rPr>
          <w:rFonts w:cstheme="minorHAnsi"/>
          <w:sz w:val="22"/>
          <w:szCs w:val="22"/>
        </w:rPr>
        <w:t>)</w:t>
      </w:r>
      <w:r w:rsidR="008D190E" w:rsidRPr="00D8473C">
        <w:rPr>
          <w:rFonts w:cstheme="minorHAnsi"/>
          <w:sz w:val="22"/>
          <w:szCs w:val="22"/>
        </w:rPr>
        <w:t xml:space="preserve"> </w:t>
      </w:r>
      <w:r w:rsidR="002C7DE7" w:rsidRPr="00D8473C">
        <w:rPr>
          <w:rFonts w:cstheme="minorHAnsi"/>
          <w:sz w:val="22"/>
          <w:szCs w:val="22"/>
        </w:rPr>
        <w:t>School</w:t>
      </w:r>
      <w:r w:rsidR="008D190E" w:rsidRPr="00D8473C">
        <w:rPr>
          <w:rFonts w:cstheme="minorHAnsi"/>
          <w:sz w:val="22"/>
          <w:szCs w:val="22"/>
        </w:rPr>
        <w:t xml:space="preserve">s and institutions may want to </w:t>
      </w:r>
      <w:r w:rsidR="002C7DE7" w:rsidRPr="00D8473C">
        <w:rPr>
          <w:rFonts w:cstheme="minorHAnsi"/>
          <w:sz w:val="22"/>
          <w:szCs w:val="22"/>
        </w:rPr>
        <w:t>identify</w:t>
      </w:r>
      <w:r w:rsidR="008D190E" w:rsidRPr="00D8473C">
        <w:rPr>
          <w:rFonts w:cstheme="minorHAnsi"/>
          <w:sz w:val="22"/>
          <w:szCs w:val="22"/>
        </w:rPr>
        <w:t xml:space="preserve"> </w:t>
      </w:r>
      <w:r w:rsidR="00132246" w:rsidRPr="00D8473C">
        <w:rPr>
          <w:rFonts w:cstheme="minorHAnsi"/>
          <w:sz w:val="22"/>
          <w:szCs w:val="22"/>
        </w:rPr>
        <w:t>positions</w:t>
      </w:r>
      <w:r w:rsidR="008D190E" w:rsidRPr="00D8473C">
        <w:rPr>
          <w:rFonts w:cstheme="minorHAnsi"/>
          <w:sz w:val="22"/>
          <w:szCs w:val="22"/>
        </w:rPr>
        <w:t xml:space="preserve"> that may attract this additional support and shortlist at the </w:t>
      </w:r>
      <w:r w:rsidR="002C7DE7" w:rsidRPr="00D8473C">
        <w:rPr>
          <w:rFonts w:cstheme="minorHAnsi"/>
          <w:sz w:val="22"/>
          <w:szCs w:val="22"/>
        </w:rPr>
        <w:t>School</w:t>
      </w:r>
      <w:r w:rsidR="008D190E" w:rsidRPr="00D8473C">
        <w:rPr>
          <w:rFonts w:cstheme="minorHAnsi"/>
          <w:sz w:val="22"/>
          <w:szCs w:val="22"/>
        </w:rPr>
        <w:t xml:space="preserve"> level. This could be used to help facilitate </w:t>
      </w:r>
      <w:r w:rsidR="00FA6E00" w:rsidRPr="00D8473C">
        <w:rPr>
          <w:rFonts w:cstheme="minorHAnsi"/>
          <w:sz w:val="22"/>
          <w:szCs w:val="22"/>
        </w:rPr>
        <w:t xml:space="preserve">early </w:t>
      </w:r>
      <w:r w:rsidR="008D190E" w:rsidRPr="00D8473C">
        <w:rPr>
          <w:rFonts w:cstheme="minorHAnsi"/>
          <w:sz w:val="22"/>
          <w:szCs w:val="22"/>
        </w:rPr>
        <w:t xml:space="preserve">discussions at the recruitment stage to attract and </w:t>
      </w:r>
      <w:r w:rsidR="00FA6E00" w:rsidRPr="00D8473C">
        <w:rPr>
          <w:rFonts w:cstheme="minorHAnsi"/>
          <w:sz w:val="22"/>
          <w:szCs w:val="22"/>
        </w:rPr>
        <w:t xml:space="preserve">engage </w:t>
      </w:r>
      <w:r w:rsidR="008D190E" w:rsidRPr="00D8473C">
        <w:rPr>
          <w:rFonts w:cstheme="minorHAnsi"/>
          <w:sz w:val="22"/>
          <w:szCs w:val="22"/>
        </w:rPr>
        <w:t>candidates</w:t>
      </w:r>
      <w:r w:rsidR="002D5845" w:rsidRPr="00D8473C">
        <w:rPr>
          <w:rFonts w:cstheme="minorHAnsi"/>
          <w:sz w:val="22"/>
          <w:szCs w:val="22"/>
        </w:rPr>
        <w:t xml:space="preserve"> in the process</w:t>
      </w:r>
      <w:r w:rsidR="008D190E" w:rsidRPr="00D8473C">
        <w:rPr>
          <w:rFonts w:cstheme="minorHAnsi"/>
          <w:sz w:val="22"/>
          <w:szCs w:val="22"/>
        </w:rPr>
        <w:t xml:space="preserve">. </w:t>
      </w:r>
    </w:p>
    <w:p w14:paraId="413394D0" w14:textId="77777777" w:rsidR="00B56F74" w:rsidRPr="00D8473C" w:rsidRDefault="00B56F74" w:rsidP="00B52CDD">
      <w:pPr>
        <w:rPr>
          <w:rFonts w:cstheme="minorHAnsi"/>
          <w:sz w:val="22"/>
          <w:szCs w:val="22"/>
        </w:rPr>
      </w:pPr>
    </w:p>
    <w:p w14:paraId="46BF2D4F" w14:textId="1BFDED63" w:rsidR="008D190E" w:rsidRPr="00D8473C" w:rsidRDefault="00B56F74" w:rsidP="00B52CDD">
      <w:pPr>
        <w:rPr>
          <w:rFonts w:cstheme="minorHAnsi"/>
          <w:i/>
          <w:iCs/>
          <w:sz w:val="22"/>
          <w:szCs w:val="22"/>
          <w:u w:val="single"/>
        </w:rPr>
      </w:pPr>
      <w:r w:rsidRPr="00D8473C">
        <w:rPr>
          <w:rFonts w:cstheme="minorHAnsi"/>
          <w:i/>
          <w:iCs/>
          <w:sz w:val="22"/>
          <w:szCs w:val="22"/>
          <w:u w:val="single"/>
        </w:rPr>
        <w:t>Approval process</w:t>
      </w:r>
    </w:p>
    <w:p w14:paraId="32A15CDA" w14:textId="35654316" w:rsidR="00B56F74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>The applications will be reviewed by circulation</w:t>
      </w:r>
      <w:r w:rsidR="003B42A6" w:rsidRPr="00D8473C">
        <w:rPr>
          <w:rFonts w:cstheme="minorHAnsi"/>
          <w:sz w:val="22"/>
          <w:szCs w:val="22"/>
        </w:rPr>
        <w:t xml:space="preserve"> to enable quick decisions</w:t>
      </w:r>
      <w:r w:rsidRPr="00D8473C">
        <w:rPr>
          <w:rFonts w:cstheme="minorHAnsi"/>
          <w:sz w:val="22"/>
          <w:szCs w:val="22"/>
        </w:rPr>
        <w:t xml:space="preserve">. The Secretary will circulate the application and supporting documents with any relevant remarks to the </w:t>
      </w:r>
      <w:r w:rsidR="00C81966" w:rsidRPr="00D8473C">
        <w:rPr>
          <w:rFonts w:cstheme="minorHAnsi"/>
          <w:sz w:val="22"/>
          <w:szCs w:val="22"/>
        </w:rPr>
        <w:t>PASOG</w:t>
      </w:r>
      <w:r w:rsidRPr="00D8473C">
        <w:rPr>
          <w:rFonts w:cstheme="minorHAnsi"/>
          <w:sz w:val="22"/>
          <w:szCs w:val="22"/>
        </w:rPr>
        <w:t xml:space="preserve">. After receiving response from the </w:t>
      </w:r>
      <w:r w:rsidR="00C81966" w:rsidRPr="00D8473C">
        <w:rPr>
          <w:rFonts w:cstheme="minorHAnsi"/>
          <w:sz w:val="22"/>
          <w:szCs w:val="22"/>
        </w:rPr>
        <w:t>PASOG</w:t>
      </w:r>
      <w:r w:rsidRPr="00D8473C">
        <w:rPr>
          <w:rFonts w:cstheme="minorHAnsi"/>
          <w:sz w:val="22"/>
          <w:szCs w:val="22"/>
        </w:rPr>
        <w:t xml:space="preserve">, the outcome will be confirmed by the </w:t>
      </w:r>
      <w:r w:rsidR="00C81966" w:rsidRPr="00D8473C">
        <w:rPr>
          <w:rFonts w:cstheme="minorHAnsi"/>
          <w:sz w:val="22"/>
          <w:szCs w:val="22"/>
        </w:rPr>
        <w:t xml:space="preserve">PASOG </w:t>
      </w:r>
      <w:r w:rsidRPr="00D8473C">
        <w:rPr>
          <w:rFonts w:cstheme="minorHAnsi"/>
          <w:sz w:val="22"/>
          <w:szCs w:val="22"/>
        </w:rPr>
        <w:t xml:space="preserve">Chair and </w:t>
      </w:r>
      <w:r w:rsidR="002C7DE7" w:rsidRPr="00D8473C">
        <w:rPr>
          <w:rFonts w:cstheme="minorHAnsi"/>
          <w:sz w:val="22"/>
          <w:szCs w:val="22"/>
        </w:rPr>
        <w:t>a</w:t>
      </w:r>
      <w:r w:rsidRPr="00D8473C">
        <w:rPr>
          <w:rFonts w:cstheme="minorHAnsi"/>
          <w:sz w:val="22"/>
          <w:szCs w:val="22"/>
        </w:rPr>
        <w:t xml:space="preserve">pplicant. </w:t>
      </w:r>
    </w:p>
    <w:p w14:paraId="4266948A" w14:textId="77777777" w:rsidR="00C35683" w:rsidRPr="00D8473C" w:rsidRDefault="00C35683" w:rsidP="00B52CDD">
      <w:pPr>
        <w:rPr>
          <w:rFonts w:cstheme="minorHAnsi"/>
          <w:sz w:val="22"/>
          <w:szCs w:val="22"/>
        </w:rPr>
      </w:pPr>
    </w:p>
    <w:p w14:paraId="7373ED23" w14:textId="254948CF" w:rsidR="00B56F74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Requests for financial contributions will be approved only if the contribution increases </w:t>
      </w:r>
      <w:r w:rsidR="002C7DE7" w:rsidRPr="00D8473C">
        <w:rPr>
          <w:rFonts w:cstheme="minorHAnsi"/>
          <w:sz w:val="22"/>
          <w:szCs w:val="22"/>
        </w:rPr>
        <w:t>possibility</w:t>
      </w:r>
      <w:r w:rsidRPr="00D8473C">
        <w:rPr>
          <w:rFonts w:cstheme="minorHAnsi"/>
          <w:sz w:val="22"/>
          <w:szCs w:val="22"/>
        </w:rPr>
        <w:t xml:space="preserve"> of securing the appointment. </w:t>
      </w:r>
      <w:r w:rsidR="002C7DE7" w:rsidRPr="00D8473C">
        <w:rPr>
          <w:rFonts w:eastAsia="Times New Roman" w:cstheme="minorHAnsi"/>
          <w:color w:val="000000"/>
          <w:sz w:val="22"/>
          <w:szCs w:val="22"/>
        </w:rPr>
        <w:t>This should be explained in detail in the application</w:t>
      </w:r>
    </w:p>
    <w:p w14:paraId="37DCBC4A" w14:textId="77777777" w:rsidR="00C35683" w:rsidRPr="00D8473C" w:rsidRDefault="00C35683" w:rsidP="00B52CDD">
      <w:pPr>
        <w:rPr>
          <w:rFonts w:cstheme="minorHAnsi"/>
          <w:sz w:val="22"/>
          <w:szCs w:val="22"/>
        </w:rPr>
      </w:pPr>
    </w:p>
    <w:p w14:paraId="415D3EAB" w14:textId="37B5DDFD" w:rsidR="00B56F74" w:rsidRPr="00D8473C" w:rsidRDefault="00B56F74" w:rsidP="00B52CDD">
      <w:pPr>
        <w:rPr>
          <w:rFonts w:cstheme="minorHAnsi"/>
          <w:sz w:val="22"/>
          <w:szCs w:val="22"/>
        </w:rPr>
      </w:pPr>
      <w:r w:rsidRPr="00D8473C">
        <w:rPr>
          <w:rFonts w:cstheme="minorHAnsi"/>
          <w:sz w:val="22"/>
          <w:szCs w:val="22"/>
        </w:rPr>
        <w:t xml:space="preserve">The approval process should take a maximum of </w:t>
      </w:r>
      <w:r w:rsidR="00632D4D" w:rsidRPr="00D8473C">
        <w:rPr>
          <w:rFonts w:cstheme="minorHAnsi"/>
          <w:sz w:val="22"/>
          <w:szCs w:val="22"/>
        </w:rPr>
        <w:t>two</w:t>
      </w:r>
      <w:r w:rsidRPr="00D8473C">
        <w:rPr>
          <w:rFonts w:cstheme="minorHAnsi"/>
          <w:sz w:val="22"/>
          <w:szCs w:val="22"/>
        </w:rPr>
        <w:t xml:space="preserve"> weeks. </w:t>
      </w:r>
    </w:p>
    <w:p w14:paraId="3139EFC7" w14:textId="77777777" w:rsidR="00B56F74" w:rsidRPr="00D8473C" w:rsidRDefault="00B56F74" w:rsidP="00B52CDD">
      <w:pPr>
        <w:rPr>
          <w:rFonts w:cstheme="minorHAnsi"/>
          <w:b/>
          <w:bCs/>
          <w:sz w:val="22"/>
          <w:szCs w:val="22"/>
          <w:lang w:val="en-US"/>
        </w:rPr>
      </w:pPr>
    </w:p>
    <w:p w14:paraId="16B06DFA" w14:textId="61B31C89" w:rsidR="00B56F74" w:rsidRPr="00D8473C" w:rsidRDefault="00B56F74" w:rsidP="00B52CDD">
      <w:pPr>
        <w:pStyle w:val="ListParagraph"/>
        <w:numPr>
          <w:ilvl w:val="0"/>
          <w:numId w:val="3"/>
        </w:numPr>
        <w:rPr>
          <w:rFonts w:cstheme="minorHAnsi"/>
          <w:b/>
          <w:bCs/>
          <w:sz w:val="22"/>
          <w:szCs w:val="22"/>
          <w:lang w:val="en-US"/>
        </w:rPr>
      </w:pPr>
      <w:r w:rsidRPr="00D8473C">
        <w:rPr>
          <w:rFonts w:cstheme="minorHAnsi"/>
          <w:b/>
          <w:bCs/>
          <w:sz w:val="22"/>
          <w:szCs w:val="22"/>
          <w:lang w:val="en-US"/>
        </w:rPr>
        <w:t>Reporting</w:t>
      </w:r>
    </w:p>
    <w:p w14:paraId="68A92F53" w14:textId="77777777" w:rsidR="00B56F74" w:rsidRPr="00D8473C" w:rsidRDefault="00B56F74" w:rsidP="00B52CDD">
      <w:pPr>
        <w:rPr>
          <w:rFonts w:cstheme="minorHAnsi"/>
          <w:sz w:val="22"/>
          <w:szCs w:val="22"/>
          <w:lang w:val="en-US"/>
        </w:rPr>
      </w:pPr>
    </w:p>
    <w:p w14:paraId="0977CAA5" w14:textId="759F7A45" w:rsidR="00B56F74" w:rsidRDefault="00B56F74" w:rsidP="00B52CDD">
      <w:pPr>
        <w:rPr>
          <w:rFonts w:cstheme="minorHAnsi"/>
          <w:sz w:val="22"/>
          <w:szCs w:val="22"/>
          <w:lang w:val="en-US"/>
        </w:rPr>
      </w:pPr>
      <w:r w:rsidRPr="00D8473C">
        <w:rPr>
          <w:rFonts w:cstheme="minorHAnsi"/>
          <w:sz w:val="22"/>
          <w:szCs w:val="22"/>
          <w:lang w:val="en-US"/>
        </w:rPr>
        <w:t xml:space="preserve">The </w:t>
      </w:r>
      <w:r w:rsidR="00C81966" w:rsidRPr="00D8473C">
        <w:rPr>
          <w:rFonts w:cstheme="minorHAnsi"/>
          <w:sz w:val="22"/>
          <w:szCs w:val="22"/>
        </w:rPr>
        <w:t>PASOG</w:t>
      </w:r>
      <w:r w:rsidR="00C81966" w:rsidRPr="00D8473C">
        <w:rPr>
          <w:rFonts w:cstheme="minorHAnsi"/>
          <w:sz w:val="22"/>
          <w:szCs w:val="22"/>
          <w:lang w:val="en-US"/>
        </w:rPr>
        <w:t xml:space="preserve"> </w:t>
      </w:r>
      <w:r w:rsidRPr="00D8473C">
        <w:rPr>
          <w:rFonts w:cstheme="minorHAnsi"/>
          <w:sz w:val="22"/>
          <w:szCs w:val="22"/>
          <w:lang w:val="en-US"/>
        </w:rPr>
        <w:t xml:space="preserve">will provide annual reports to the HR Committee and the Planning and Resources Committee on its activities on an annual basis, in October every year. </w:t>
      </w:r>
    </w:p>
    <w:p w14:paraId="7984C857" w14:textId="69582A5C" w:rsidR="002E1978" w:rsidRPr="003B62A8" w:rsidRDefault="002E1978" w:rsidP="002E1978">
      <w:pPr>
        <w:pStyle w:val="Heading1"/>
        <w:pBdr>
          <w:bottom w:val="none" w:sz="0" w:space="0" w:color="auto"/>
        </w:pBdr>
        <w:rPr>
          <w:rFonts w:ascii="Calibri" w:hAnsi="Calibri" w:cs="Calibri"/>
          <w:b w:val="0"/>
          <w:color w:val="auto"/>
          <w:sz w:val="22"/>
          <w:szCs w:val="22"/>
        </w:rPr>
      </w:pPr>
      <w:r w:rsidRPr="003B62A8">
        <w:rPr>
          <w:rFonts w:ascii="Calibri" w:hAnsi="Calibri" w:cs="Calibri"/>
          <w:b w:val="0"/>
          <w:color w:val="auto"/>
          <w:sz w:val="22"/>
          <w:szCs w:val="22"/>
        </w:rPr>
        <w:t xml:space="preserve">Each recipient will be asked to provide a summary of how the resources were spent at the end of the first 3 years after their appointment. In addition, the relevant institution will be asked to provide interim </w:t>
      </w:r>
      <w:r w:rsidR="00446A01" w:rsidRPr="003B62A8">
        <w:rPr>
          <w:rFonts w:ascii="Calibri" w:hAnsi="Calibri" w:cs="Calibri"/>
          <w:b w:val="0"/>
          <w:color w:val="auto"/>
          <w:sz w:val="22"/>
          <w:szCs w:val="22"/>
        </w:rPr>
        <w:t xml:space="preserve">annual </w:t>
      </w:r>
      <w:r w:rsidRPr="003B62A8">
        <w:rPr>
          <w:rFonts w:ascii="Calibri" w:hAnsi="Calibri" w:cs="Calibri"/>
          <w:b w:val="0"/>
          <w:color w:val="auto"/>
          <w:sz w:val="22"/>
          <w:szCs w:val="22"/>
        </w:rPr>
        <w:t xml:space="preserve">spend reports to the Planning and Resources Committee over the same period. </w:t>
      </w:r>
    </w:p>
    <w:p w14:paraId="011649AA" w14:textId="77777777" w:rsidR="002E1978" w:rsidRPr="00D8473C" w:rsidRDefault="002E1978" w:rsidP="00B52CDD">
      <w:pPr>
        <w:rPr>
          <w:rFonts w:cstheme="minorHAnsi"/>
          <w:sz w:val="22"/>
          <w:szCs w:val="22"/>
          <w:lang w:val="en-US"/>
        </w:rPr>
      </w:pPr>
    </w:p>
    <w:p w14:paraId="07BD5DD9" w14:textId="0BA069CF" w:rsidR="00C66531" w:rsidRPr="00D8473C" w:rsidRDefault="00C66531" w:rsidP="00B52CDD">
      <w:pPr>
        <w:rPr>
          <w:rFonts w:cstheme="minorHAnsi"/>
          <w:b/>
          <w:bCs/>
          <w:sz w:val="22"/>
          <w:szCs w:val="22"/>
        </w:rPr>
      </w:pPr>
    </w:p>
    <w:p w14:paraId="7B48370A" w14:textId="77777777" w:rsidR="00C66531" w:rsidRPr="00FA6E00" w:rsidRDefault="00C66531" w:rsidP="00B52CDD">
      <w:pPr>
        <w:rPr>
          <w:rFonts w:cstheme="minorHAnsi"/>
          <w:b/>
          <w:bCs/>
          <w:sz w:val="20"/>
          <w:szCs w:val="20"/>
        </w:rPr>
      </w:pPr>
    </w:p>
    <w:p w14:paraId="777E17B2" w14:textId="765E0434" w:rsidR="006C2488" w:rsidRDefault="006C2488" w:rsidP="00B52CDD">
      <w:pPr>
        <w:rPr>
          <w:rFonts w:cstheme="minorHAnsi"/>
          <w:sz w:val="20"/>
          <w:szCs w:val="20"/>
        </w:rPr>
      </w:pPr>
    </w:p>
    <w:p w14:paraId="0FD4379A" w14:textId="5B65DA66" w:rsidR="00446A01" w:rsidRDefault="00446A01" w:rsidP="00B52CDD">
      <w:pPr>
        <w:rPr>
          <w:rFonts w:cstheme="minorHAnsi"/>
          <w:sz w:val="20"/>
          <w:szCs w:val="20"/>
        </w:rPr>
      </w:pPr>
    </w:p>
    <w:p w14:paraId="1C817308" w14:textId="1D89E263" w:rsidR="00446A01" w:rsidRPr="00446A01" w:rsidRDefault="00446A01" w:rsidP="00B52CDD">
      <w:pPr>
        <w:rPr>
          <w:rFonts w:cstheme="minorHAnsi"/>
          <w:sz w:val="22"/>
          <w:szCs w:val="22"/>
        </w:rPr>
      </w:pPr>
      <w:r w:rsidRPr="00446A01">
        <w:rPr>
          <w:rFonts w:cstheme="minorHAnsi"/>
          <w:sz w:val="22"/>
          <w:szCs w:val="22"/>
        </w:rPr>
        <w:t>November 2021</w:t>
      </w:r>
    </w:p>
    <w:p w14:paraId="6ACD876A" w14:textId="77777777" w:rsidR="006C2488" w:rsidRPr="00FA6E00" w:rsidRDefault="006C2488" w:rsidP="00B52CDD">
      <w:pPr>
        <w:rPr>
          <w:rFonts w:cstheme="minorHAnsi"/>
          <w:sz w:val="20"/>
          <w:szCs w:val="20"/>
        </w:rPr>
      </w:pPr>
    </w:p>
    <w:p w14:paraId="7A9D884E" w14:textId="77777777" w:rsidR="006C2488" w:rsidRPr="00FA6E00" w:rsidRDefault="006C2488" w:rsidP="00B52CDD">
      <w:pPr>
        <w:rPr>
          <w:rFonts w:cstheme="minorHAnsi"/>
          <w:sz w:val="20"/>
          <w:szCs w:val="20"/>
        </w:rPr>
      </w:pPr>
    </w:p>
    <w:p w14:paraId="282339F3" w14:textId="77777777" w:rsidR="006C2488" w:rsidRPr="00FA6E00" w:rsidRDefault="006C2488" w:rsidP="00B52CDD">
      <w:pPr>
        <w:rPr>
          <w:rFonts w:cstheme="minorHAnsi"/>
          <w:sz w:val="20"/>
          <w:szCs w:val="20"/>
        </w:rPr>
      </w:pPr>
    </w:p>
    <w:p w14:paraId="362643E2" w14:textId="77777777" w:rsidR="003C6236" w:rsidRPr="00FA6E00" w:rsidRDefault="0071787C" w:rsidP="00B52CDD">
      <w:pPr>
        <w:rPr>
          <w:rFonts w:cstheme="minorHAnsi"/>
          <w:sz w:val="20"/>
          <w:szCs w:val="20"/>
        </w:rPr>
      </w:pPr>
    </w:p>
    <w:sectPr w:rsidR="003C6236" w:rsidRPr="00FA6E00" w:rsidSect="00D8473C">
      <w:pgSz w:w="11900" w:h="16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B72"/>
    <w:multiLevelType w:val="hybridMultilevel"/>
    <w:tmpl w:val="DC1E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06D"/>
    <w:multiLevelType w:val="hybridMultilevel"/>
    <w:tmpl w:val="E0DCD70C"/>
    <w:lvl w:ilvl="0" w:tplc="10CA6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A5091"/>
    <w:multiLevelType w:val="hybridMultilevel"/>
    <w:tmpl w:val="BB9E5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5C"/>
    <w:multiLevelType w:val="hybridMultilevel"/>
    <w:tmpl w:val="8488E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062A"/>
    <w:multiLevelType w:val="hybridMultilevel"/>
    <w:tmpl w:val="CA5E0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F69"/>
    <w:multiLevelType w:val="hybridMultilevel"/>
    <w:tmpl w:val="CA5E0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5E3"/>
    <w:multiLevelType w:val="hybridMultilevel"/>
    <w:tmpl w:val="ECF2823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E1F52"/>
    <w:multiLevelType w:val="hybridMultilevel"/>
    <w:tmpl w:val="7540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6B0"/>
    <w:multiLevelType w:val="hybridMultilevel"/>
    <w:tmpl w:val="696E2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B77AD"/>
    <w:multiLevelType w:val="hybridMultilevel"/>
    <w:tmpl w:val="3F748ED0"/>
    <w:lvl w:ilvl="0" w:tplc="59C09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88"/>
    <w:rsid w:val="00043876"/>
    <w:rsid w:val="00132246"/>
    <w:rsid w:val="00143F85"/>
    <w:rsid w:val="001757FC"/>
    <w:rsid w:val="001C570B"/>
    <w:rsid w:val="002011F5"/>
    <w:rsid w:val="00207F12"/>
    <w:rsid w:val="002507DD"/>
    <w:rsid w:val="0026424A"/>
    <w:rsid w:val="002B667E"/>
    <w:rsid w:val="002C3B82"/>
    <w:rsid w:val="002C7DE7"/>
    <w:rsid w:val="002D5845"/>
    <w:rsid w:val="002E057A"/>
    <w:rsid w:val="002E1978"/>
    <w:rsid w:val="00325969"/>
    <w:rsid w:val="003468E3"/>
    <w:rsid w:val="003538B4"/>
    <w:rsid w:val="0039592D"/>
    <w:rsid w:val="003B42A6"/>
    <w:rsid w:val="003B62A8"/>
    <w:rsid w:val="003C2A4B"/>
    <w:rsid w:val="003E1244"/>
    <w:rsid w:val="003F7A78"/>
    <w:rsid w:val="00415AC5"/>
    <w:rsid w:val="00446A01"/>
    <w:rsid w:val="004663DA"/>
    <w:rsid w:val="004F2F66"/>
    <w:rsid w:val="00533927"/>
    <w:rsid w:val="005672D3"/>
    <w:rsid w:val="005A3169"/>
    <w:rsid w:val="005A3D1B"/>
    <w:rsid w:val="005D0F31"/>
    <w:rsid w:val="005E3FD5"/>
    <w:rsid w:val="00603592"/>
    <w:rsid w:val="00632D4D"/>
    <w:rsid w:val="00673DAA"/>
    <w:rsid w:val="006C2488"/>
    <w:rsid w:val="006C6109"/>
    <w:rsid w:val="0071787C"/>
    <w:rsid w:val="00720816"/>
    <w:rsid w:val="007A4016"/>
    <w:rsid w:val="00851D01"/>
    <w:rsid w:val="008653BE"/>
    <w:rsid w:val="00872150"/>
    <w:rsid w:val="00873CDE"/>
    <w:rsid w:val="008A26B8"/>
    <w:rsid w:val="008D190E"/>
    <w:rsid w:val="009502B8"/>
    <w:rsid w:val="00961140"/>
    <w:rsid w:val="00995A0E"/>
    <w:rsid w:val="00997FDA"/>
    <w:rsid w:val="009D762E"/>
    <w:rsid w:val="00A14BEF"/>
    <w:rsid w:val="00A21BD2"/>
    <w:rsid w:val="00A61E08"/>
    <w:rsid w:val="00A95079"/>
    <w:rsid w:val="00AC5659"/>
    <w:rsid w:val="00AC682B"/>
    <w:rsid w:val="00AF2745"/>
    <w:rsid w:val="00AF689F"/>
    <w:rsid w:val="00B205A0"/>
    <w:rsid w:val="00B25CA7"/>
    <w:rsid w:val="00B25F2C"/>
    <w:rsid w:val="00B52CDD"/>
    <w:rsid w:val="00B56F74"/>
    <w:rsid w:val="00B9319A"/>
    <w:rsid w:val="00C35683"/>
    <w:rsid w:val="00C66531"/>
    <w:rsid w:val="00C81966"/>
    <w:rsid w:val="00CD2A36"/>
    <w:rsid w:val="00D8473C"/>
    <w:rsid w:val="00DA2FB5"/>
    <w:rsid w:val="00E004B0"/>
    <w:rsid w:val="00E93053"/>
    <w:rsid w:val="00E9554A"/>
    <w:rsid w:val="00EA2772"/>
    <w:rsid w:val="00ED2CE9"/>
    <w:rsid w:val="00F4384C"/>
    <w:rsid w:val="00F44105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B352"/>
  <w15:chartTrackingRefBased/>
  <w15:docId w15:val="{7D6BA5F4-51CB-654F-B095-3DB7827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1978"/>
    <w:pPr>
      <w:keepNext/>
      <w:pBdr>
        <w:bottom w:val="single" w:sz="4" w:space="1" w:color="7B7B7B" w:themeColor="accent3" w:themeShade="BF"/>
      </w:pBdr>
      <w:spacing w:before="240" w:after="60"/>
      <w:outlineLvl w:val="0"/>
    </w:pPr>
    <w:rPr>
      <w:rFonts w:asciiTheme="majorHAnsi" w:eastAsia="Times New Roman" w:hAnsiTheme="majorHAnsi" w:cs="Arial"/>
      <w:b/>
      <w:bCs/>
      <w:color w:val="A5A5A5" w:themeColor="accent3"/>
      <w:kern w:val="32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E1978"/>
    <w:rPr>
      <w:rFonts w:asciiTheme="majorHAnsi" w:eastAsia="Times New Roman" w:hAnsiTheme="majorHAnsi" w:cs="Arial"/>
      <w:b/>
      <w:bCs/>
      <w:color w:val="A5A5A5" w:themeColor="accent3"/>
      <w:kern w:val="32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1A92-2E87-4667-9B15-CC652FBF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Cardwell</dc:creator>
  <cp:keywords/>
  <dc:description/>
  <cp:lastModifiedBy>Nicola Fouhy</cp:lastModifiedBy>
  <cp:revision>2</cp:revision>
  <dcterms:created xsi:type="dcterms:W3CDTF">2021-12-08T15:44:00Z</dcterms:created>
  <dcterms:modified xsi:type="dcterms:W3CDTF">2021-12-08T15:44:00Z</dcterms:modified>
</cp:coreProperties>
</file>